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73E14" w14:textId="36EA6232" w:rsidR="00BE40FF" w:rsidRPr="00742586" w:rsidRDefault="00C00A53" w:rsidP="003C4E9D">
      <w:pPr>
        <w:pStyle w:val="Nadpis1rovn"/>
        <w:jc w:val="center"/>
        <w:rPr>
          <w:rFonts w:ascii="Calibri" w:eastAsia="Calibri" w:hAnsi="Calibri" w:cs="Calibri"/>
          <w:lang w:val="en-GB"/>
        </w:rPr>
      </w:pPr>
      <w:r w:rsidRPr="00742586">
        <w:rPr>
          <w:rFonts w:ascii="Calibri" w:eastAsia="Calibri" w:hAnsi="Calibri" w:cs="Calibri"/>
          <w:lang w:val="en-GB"/>
        </w:rPr>
        <w:t>ANNEX</w:t>
      </w:r>
      <w:r w:rsidR="001043B9" w:rsidRPr="00742586">
        <w:rPr>
          <w:rFonts w:ascii="Calibri" w:eastAsia="Calibri" w:hAnsi="Calibri" w:cs="Calibri"/>
          <w:lang w:val="en-GB"/>
        </w:rPr>
        <w:t xml:space="preserve"> </w:t>
      </w:r>
      <w:r w:rsidR="00352591" w:rsidRPr="00742586">
        <w:rPr>
          <w:rFonts w:ascii="Calibri" w:eastAsia="Calibri" w:hAnsi="Calibri" w:cs="Calibri"/>
          <w:lang w:val="en-GB"/>
        </w:rPr>
        <w:t>03</w:t>
      </w:r>
      <w:r w:rsidR="00544657" w:rsidRPr="00742586">
        <w:rPr>
          <w:rFonts w:ascii="Calibri" w:eastAsia="Calibri" w:hAnsi="Calibri" w:cs="Calibri"/>
          <w:lang w:val="en-GB"/>
        </w:rPr>
        <w:t>: O</w:t>
      </w:r>
      <w:r w:rsidR="3402255B" w:rsidRPr="00742586">
        <w:rPr>
          <w:rFonts w:ascii="Calibri" w:eastAsia="Calibri" w:hAnsi="Calibri" w:cs="Calibri"/>
          <w:lang w:val="en-GB"/>
        </w:rPr>
        <w:t>pen Science</w:t>
      </w:r>
    </w:p>
    <w:p w14:paraId="07512395" w14:textId="1FBB20A8" w:rsidR="00D95481" w:rsidRPr="00742586" w:rsidRDefault="00D95481" w:rsidP="003C4E9D">
      <w:pPr>
        <w:pStyle w:val="ListParagraph"/>
        <w:numPr>
          <w:ilvl w:val="0"/>
          <w:numId w:val="5"/>
        </w:numPr>
        <w:spacing w:after="0" w:line="240" w:lineRule="auto"/>
        <w:jc w:val="both"/>
        <w:rPr>
          <w:rFonts w:ascii="Calibri" w:eastAsia="Calibri" w:hAnsi="Calibri" w:cs="Calibri"/>
          <w:b/>
          <w:bCs/>
          <w:sz w:val="22"/>
          <w:szCs w:val="22"/>
          <w:lang w:val="en-GB"/>
        </w:rPr>
      </w:pPr>
      <w:r w:rsidRPr="00742586">
        <w:rPr>
          <w:rFonts w:ascii="Calibri" w:eastAsia="Calibri" w:hAnsi="Calibri" w:cs="Calibri"/>
          <w:b/>
          <w:bCs/>
          <w:sz w:val="22"/>
          <w:szCs w:val="22"/>
          <w:lang w:val="en-GB"/>
        </w:rPr>
        <w:t>O</w:t>
      </w:r>
      <w:r w:rsidR="3727C8CF" w:rsidRPr="00742586">
        <w:rPr>
          <w:rFonts w:ascii="Calibri" w:eastAsia="Calibri" w:hAnsi="Calibri" w:cs="Calibri"/>
          <w:b/>
          <w:bCs/>
          <w:sz w:val="22"/>
          <w:szCs w:val="22"/>
          <w:lang w:val="en-GB"/>
        </w:rPr>
        <w:t>pen Science</w:t>
      </w:r>
      <w:r w:rsidRPr="00742586">
        <w:rPr>
          <w:rFonts w:ascii="Calibri" w:eastAsia="Calibri" w:hAnsi="Calibri" w:cs="Calibri"/>
          <w:b/>
          <w:bCs/>
          <w:sz w:val="22"/>
          <w:szCs w:val="22"/>
          <w:lang w:val="en-GB"/>
        </w:rPr>
        <w:t xml:space="preserve"> </w:t>
      </w:r>
      <w:r w:rsidR="00C00A53" w:rsidRPr="00742586">
        <w:rPr>
          <w:rFonts w:ascii="Calibri" w:eastAsia="Calibri" w:hAnsi="Calibri" w:cs="Calibri"/>
          <w:b/>
          <w:bCs/>
          <w:sz w:val="22"/>
          <w:szCs w:val="22"/>
          <w:lang w:val="en-GB"/>
        </w:rPr>
        <w:t>and its implementation in the</w:t>
      </w:r>
      <w:r w:rsidRPr="00742586">
        <w:rPr>
          <w:rFonts w:ascii="Calibri" w:eastAsia="Calibri" w:hAnsi="Calibri" w:cs="Calibri"/>
          <w:b/>
          <w:bCs/>
          <w:sz w:val="22"/>
          <w:szCs w:val="22"/>
          <w:lang w:val="en-GB"/>
        </w:rPr>
        <w:t xml:space="preserve"> </w:t>
      </w:r>
      <w:r w:rsidR="00C00A53" w:rsidRPr="00742586">
        <w:rPr>
          <w:rFonts w:ascii="Calibri" w:eastAsia="Calibri" w:hAnsi="Calibri" w:cs="Calibri"/>
          <w:b/>
          <w:bCs/>
          <w:sz w:val="22"/>
          <w:szCs w:val="22"/>
          <w:lang w:val="en-GB"/>
        </w:rPr>
        <w:t>R</w:t>
      </w:r>
      <w:r w:rsidRPr="00742586">
        <w:rPr>
          <w:rFonts w:ascii="Calibri" w:eastAsia="Calibri" w:hAnsi="Calibri" w:cs="Calibri"/>
          <w:b/>
          <w:bCs/>
          <w:sz w:val="22"/>
          <w:szCs w:val="22"/>
          <w:lang w:val="en-GB"/>
        </w:rPr>
        <w:t>G</w:t>
      </w:r>
    </w:p>
    <w:p w14:paraId="6C9F61C6" w14:textId="77777777" w:rsidR="005F04BF" w:rsidRPr="00742586" w:rsidRDefault="005F04BF" w:rsidP="003C4E9D">
      <w:pPr>
        <w:spacing w:after="0" w:line="240" w:lineRule="auto"/>
        <w:jc w:val="both"/>
        <w:rPr>
          <w:rFonts w:ascii="Calibri" w:eastAsia="Calibri" w:hAnsi="Calibri" w:cs="Calibri"/>
          <w:sz w:val="22"/>
          <w:szCs w:val="22"/>
          <w:lang w:val="en-GB"/>
        </w:rPr>
      </w:pPr>
    </w:p>
    <w:p w14:paraId="2AEE1B5F" w14:textId="30087538" w:rsidR="00C00A53" w:rsidRPr="00C00A53" w:rsidRDefault="00C00A53" w:rsidP="00C00A53">
      <w:pPr>
        <w:spacing w:after="0" w:line="240" w:lineRule="auto"/>
        <w:jc w:val="both"/>
        <w:rPr>
          <w:rFonts w:ascii="Calibri" w:eastAsia="Calibri" w:hAnsi="Calibri" w:cs="Calibri"/>
          <w:sz w:val="22"/>
          <w:szCs w:val="22"/>
          <w:lang w:val="en-GB"/>
        </w:rPr>
      </w:pPr>
      <w:r w:rsidRPr="00C00A53">
        <w:rPr>
          <w:rFonts w:ascii="Calibri" w:eastAsia="Calibri" w:hAnsi="Calibri" w:cs="Calibri"/>
          <w:sz w:val="22"/>
          <w:szCs w:val="22"/>
          <w:lang w:val="en-GB"/>
        </w:rPr>
        <w:t xml:space="preserve">Every RG funded from </w:t>
      </w:r>
      <w:r w:rsidR="00157172">
        <w:rPr>
          <w:rFonts w:ascii="Calibri" w:eastAsia="Calibri" w:hAnsi="Calibri" w:cs="Calibri"/>
          <w:sz w:val="22"/>
          <w:szCs w:val="22"/>
          <w:lang w:val="en-GB"/>
        </w:rPr>
        <w:t xml:space="preserve">the </w:t>
      </w:r>
      <w:r w:rsidRPr="00742586">
        <w:rPr>
          <w:rFonts w:ascii="Calibri" w:eastAsia="Calibri" w:hAnsi="Calibri" w:cs="Calibri"/>
          <w:sz w:val="22"/>
          <w:szCs w:val="22"/>
          <w:lang w:val="en-GB"/>
        </w:rPr>
        <w:t>SNG</w:t>
      </w:r>
      <w:r w:rsidRPr="00C00A53">
        <w:rPr>
          <w:rFonts w:ascii="Calibri" w:eastAsia="Calibri" w:hAnsi="Calibri" w:cs="Calibri"/>
          <w:sz w:val="22"/>
          <w:szCs w:val="22"/>
          <w:lang w:val="en-GB"/>
        </w:rPr>
        <w:t xml:space="preserve"> must comply with the principles of Open Science. Open Science is a new, modern approach to the scientific process based on open collaboration using digital tools and effective </w:t>
      </w:r>
      <w:r w:rsidR="005C327A">
        <w:rPr>
          <w:rFonts w:ascii="Calibri" w:eastAsia="Calibri" w:hAnsi="Calibri" w:cs="Calibri"/>
          <w:sz w:val="22"/>
          <w:szCs w:val="22"/>
          <w:lang w:val="en-GB"/>
        </w:rPr>
        <w:t>dissemination</w:t>
      </w:r>
      <w:r w:rsidRPr="00742586">
        <w:rPr>
          <w:rFonts w:ascii="Calibri" w:eastAsia="Calibri" w:hAnsi="Calibri" w:cs="Calibri"/>
          <w:sz w:val="22"/>
          <w:szCs w:val="22"/>
          <w:lang w:val="en-GB"/>
        </w:rPr>
        <w:t xml:space="preserve"> of knowledge</w:t>
      </w:r>
      <w:r w:rsidRPr="00C00A53">
        <w:rPr>
          <w:rFonts w:ascii="Calibri" w:eastAsia="Calibri" w:hAnsi="Calibri" w:cs="Calibri"/>
          <w:sz w:val="22"/>
          <w:szCs w:val="22"/>
          <w:lang w:val="en-GB"/>
        </w:rPr>
        <w:t>. It is an umbrella term covering various practices and principles that contribute to an open scientific environment. A fundamental concept of Open Science is Open Access, which refers to the online availability of research outputs provided to the end user free of charge</w:t>
      </w:r>
      <w:r w:rsidRPr="00742586">
        <w:rPr>
          <w:rFonts w:ascii="Calibri" w:eastAsia="Calibri" w:hAnsi="Calibri" w:cs="Calibri"/>
          <w:sz w:val="22"/>
          <w:szCs w:val="22"/>
          <w:lang w:val="en-GB"/>
        </w:rPr>
        <w:t>.</w:t>
      </w:r>
    </w:p>
    <w:p w14:paraId="3C032E06" w14:textId="77777777" w:rsidR="00C00A53" w:rsidRPr="00742586" w:rsidRDefault="00C00A53" w:rsidP="003C4E9D">
      <w:pPr>
        <w:spacing w:after="0" w:line="240" w:lineRule="auto"/>
        <w:jc w:val="both"/>
        <w:rPr>
          <w:rFonts w:ascii="Calibri" w:eastAsia="Calibri" w:hAnsi="Calibri" w:cs="Calibri"/>
          <w:sz w:val="22"/>
          <w:szCs w:val="22"/>
          <w:lang w:val="en-GB"/>
        </w:rPr>
      </w:pPr>
    </w:p>
    <w:p w14:paraId="204B6A82" w14:textId="471A51CA" w:rsidR="002F703C" w:rsidRPr="00742586" w:rsidRDefault="00C00A53" w:rsidP="003C4E9D">
      <w:pPr>
        <w:spacing w:after="0" w:line="240" w:lineRule="auto"/>
        <w:jc w:val="both"/>
        <w:rPr>
          <w:rFonts w:ascii="Calibri" w:eastAsia="Calibri" w:hAnsi="Calibri" w:cs="Calibri"/>
          <w:sz w:val="22"/>
          <w:szCs w:val="22"/>
          <w:lang w:val="en-GB"/>
        </w:rPr>
      </w:pPr>
      <w:r w:rsidRPr="00C00A53">
        <w:rPr>
          <w:rFonts w:ascii="Calibri" w:eastAsia="Calibri" w:hAnsi="Calibri" w:cs="Calibri"/>
          <w:sz w:val="22"/>
          <w:szCs w:val="22"/>
          <w:lang w:val="en-GB"/>
        </w:rPr>
        <w:t>The first key pillar of Open Science is open access to scientific publications (</w:t>
      </w:r>
      <w:r w:rsidR="0062741B">
        <w:rPr>
          <w:rFonts w:ascii="Calibri" w:eastAsia="Calibri" w:hAnsi="Calibri" w:cs="Calibri"/>
          <w:sz w:val="22"/>
          <w:szCs w:val="22"/>
          <w:lang w:val="en-GB"/>
        </w:rPr>
        <w:t>although</w:t>
      </w:r>
      <w:r w:rsidRPr="00C00A53">
        <w:rPr>
          <w:rFonts w:ascii="Calibri" w:eastAsia="Calibri" w:hAnsi="Calibri" w:cs="Calibri"/>
          <w:sz w:val="22"/>
          <w:szCs w:val="22"/>
          <w:lang w:val="en-GB"/>
        </w:rPr>
        <w:t xml:space="preserve"> Open Science also targets other types of outputs, such as software, algorithms, protocols, models, workflows and electronic laboratory notebooks</w:t>
      </w:r>
      <w:r w:rsidR="002F703C" w:rsidRPr="00742586">
        <w:rPr>
          <w:rFonts w:ascii="Calibri" w:eastAsia="Calibri" w:hAnsi="Calibri" w:cs="Calibri"/>
          <w:sz w:val="22"/>
          <w:szCs w:val="22"/>
          <w:lang w:val="en-GB"/>
        </w:rPr>
        <w:t xml:space="preserve">). </w:t>
      </w:r>
    </w:p>
    <w:p w14:paraId="7AB1C1FB" w14:textId="77777777" w:rsidR="00DD5E42" w:rsidRPr="00742586" w:rsidRDefault="00DD5E42" w:rsidP="003C4E9D">
      <w:pPr>
        <w:spacing w:after="0" w:line="240" w:lineRule="auto"/>
        <w:jc w:val="both"/>
        <w:rPr>
          <w:rFonts w:ascii="Calibri" w:eastAsia="Calibri" w:hAnsi="Calibri" w:cs="Calibri"/>
          <w:sz w:val="22"/>
          <w:szCs w:val="22"/>
          <w:lang w:val="en-GB"/>
        </w:rPr>
      </w:pPr>
    </w:p>
    <w:p w14:paraId="550DA18F" w14:textId="57C0974F" w:rsidR="00C00A53" w:rsidRPr="00C00A53" w:rsidRDefault="00C00A53" w:rsidP="00C00A53">
      <w:pPr>
        <w:spacing w:after="0" w:line="240" w:lineRule="auto"/>
        <w:jc w:val="both"/>
        <w:rPr>
          <w:rFonts w:ascii="Calibri" w:eastAsia="Calibri" w:hAnsi="Calibri" w:cs="Calibri"/>
          <w:sz w:val="22"/>
          <w:szCs w:val="22"/>
          <w:lang w:val="en-GB"/>
        </w:rPr>
      </w:pPr>
      <w:r w:rsidRPr="00C00A53">
        <w:rPr>
          <w:rFonts w:ascii="Calibri" w:eastAsia="Calibri" w:hAnsi="Calibri" w:cs="Calibri"/>
          <w:sz w:val="22"/>
          <w:szCs w:val="22"/>
          <w:lang w:val="en-GB"/>
        </w:rPr>
        <w:t>The second key pillar of Open Science is open access to research data and the responsible management of research data throughout the entire research life cycle. This includes, among other things, the organisation, storage, preservation, security, quality assurance, assignment of persistent identifiers (PID</w:t>
      </w:r>
      <w:r w:rsidR="0062741B">
        <w:rPr>
          <w:rFonts w:ascii="Calibri" w:eastAsia="Calibri" w:hAnsi="Calibri" w:cs="Calibri"/>
          <w:sz w:val="22"/>
          <w:szCs w:val="22"/>
          <w:lang w:val="en-GB"/>
        </w:rPr>
        <w:t>s</w:t>
      </w:r>
      <w:r w:rsidRPr="00C00A53">
        <w:rPr>
          <w:rFonts w:ascii="Calibri" w:eastAsia="Calibri" w:hAnsi="Calibri" w:cs="Calibri"/>
          <w:sz w:val="22"/>
          <w:szCs w:val="22"/>
          <w:lang w:val="en-GB"/>
        </w:rPr>
        <w:t>) and licensing. In the process of managing and sharing research data, emphasis is placed on compliance with the FAIR principles. Another essential element of open access to research data is that it adheres to the principle of “as open as possible, as closed as necessary”.</w:t>
      </w:r>
    </w:p>
    <w:p w14:paraId="3F3D08CF" w14:textId="77777777" w:rsidR="00C00A53" w:rsidRPr="00742586" w:rsidRDefault="00C00A53" w:rsidP="003C4E9D">
      <w:pPr>
        <w:spacing w:after="0" w:line="240" w:lineRule="auto"/>
        <w:jc w:val="both"/>
        <w:rPr>
          <w:rFonts w:ascii="Calibri" w:eastAsia="Calibri" w:hAnsi="Calibri" w:cs="Calibri"/>
          <w:sz w:val="22"/>
          <w:szCs w:val="22"/>
          <w:lang w:val="en-GB"/>
        </w:rPr>
      </w:pPr>
    </w:p>
    <w:p w14:paraId="18CCD68A" w14:textId="55D5C4FE" w:rsidR="002F703C" w:rsidRPr="00742586" w:rsidRDefault="00C00A53" w:rsidP="003C4E9D">
      <w:pPr>
        <w:spacing w:after="0" w:line="240" w:lineRule="auto"/>
        <w:jc w:val="both"/>
        <w:rPr>
          <w:rFonts w:ascii="Calibri" w:eastAsia="Calibri" w:hAnsi="Calibri" w:cs="Calibri"/>
          <w:sz w:val="22"/>
          <w:szCs w:val="22"/>
          <w:lang w:val="en-GB"/>
        </w:rPr>
      </w:pPr>
      <w:r w:rsidRPr="00C00A53">
        <w:rPr>
          <w:rFonts w:ascii="Calibri" w:eastAsia="Calibri" w:hAnsi="Calibri" w:cs="Calibri"/>
          <w:sz w:val="22"/>
          <w:szCs w:val="22"/>
          <w:lang w:val="en-GB"/>
        </w:rPr>
        <w:t>In addition to the two key pillars outlined above, Open Science also encompasses a range of other practices and procedures, such as open</w:t>
      </w:r>
      <w:r w:rsidRPr="00C00A53">
        <w:rPr>
          <w:rFonts w:ascii="Calibri" w:eastAsia="Calibri" w:hAnsi="Calibri" w:cs="Calibri"/>
          <w:sz w:val="22"/>
          <w:szCs w:val="22"/>
          <w:lang w:val="en-GB"/>
        </w:rPr>
        <w:noBreakHyphen/>
        <w:t xml:space="preserve">source code (Open Source), </w:t>
      </w:r>
      <w:r w:rsidRPr="00742586">
        <w:rPr>
          <w:rFonts w:ascii="Calibri" w:eastAsia="Calibri" w:hAnsi="Calibri" w:cs="Calibri"/>
          <w:sz w:val="22"/>
          <w:szCs w:val="22"/>
          <w:lang w:val="en-GB"/>
        </w:rPr>
        <w:t>O</w:t>
      </w:r>
      <w:r w:rsidRPr="00C00A53">
        <w:rPr>
          <w:rFonts w:ascii="Calibri" w:eastAsia="Calibri" w:hAnsi="Calibri" w:cs="Calibri"/>
          <w:sz w:val="22"/>
          <w:szCs w:val="22"/>
          <w:lang w:val="en-GB"/>
        </w:rPr>
        <w:t xml:space="preserve">pen </w:t>
      </w:r>
      <w:r w:rsidRPr="00742586">
        <w:rPr>
          <w:rFonts w:ascii="Calibri" w:eastAsia="Calibri" w:hAnsi="Calibri" w:cs="Calibri"/>
          <w:sz w:val="22"/>
          <w:szCs w:val="22"/>
          <w:lang w:val="en-GB"/>
        </w:rPr>
        <w:t>P</w:t>
      </w:r>
      <w:r w:rsidRPr="00C00A53">
        <w:rPr>
          <w:rFonts w:ascii="Calibri" w:eastAsia="Calibri" w:hAnsi="Calibri" w:cs="Calibri"/>
          <w:sz w:val="22"/>
          <w:szCs w:val="22"/>
          <w:lang w:val="en-GB"/>
        </w:rPr>
        <w:t xml:space="preserve">eer </w:t>
      </w:r>
      <w:r w:rsidRPr="00742586">
        <w:rPr>
          <w:rFonts w:ascii="Calibri" w:eastAsia="Calibri" w:hAnsi="Calibri" w:cs="Calibri"/>
          <w:sz w:val="22"/>
          <w:szCs w:val="22"/>
          <w:lang w:val="en-GB"/>
        </w:rPr>
        <w:t>R</w:t>
      </w:r>
      <w:r w:rsidRPr="00C00A53">
        <w:rPr>
          <w:rFonts w:ascii="Calibri" w:eastAsia="Calibri" w:hAnsi="Calibri" w:cs="Calibri"/>
          <w:sz w:val="22"/>
          <w:szCs w:val="22"/>
          <w:lang w:val="en-GB"/>
        </w:rPr>
        <w:t xml:space="preserve">eview, the use of open Creative Commons licences (Open Licensing), citizen science activities, the use of open laboratory notebooks (Open Notebooks) and others. The objective of Open Science is to support collaboration and more effective dissemination of research </w:t>
      </w:r>
      <w:r w:rsidR="002A5193">
        <w:rPr>
          <w:rFonts w:ascii="Calibri" w:eastAsia="Calibri" w:hAnsi="Calibri" w:cs="Calibri"/>
          <w:sz w:val="22"/>
          <w:szCs w:val="22"/>
          <w:lang w:val="en-GB"/>
        </w:rPr>
        <w:t>outcomes</w:t>
      </w:r>
      <w:r w:rsidRPr="00742586">
        <w:rPr>
          <w:rFonts w:ascii="Calibri" w:eastAsia="Calibri" w:hAnsi="Calibri" w:cs="Calibri"/>
          <w:sz w:val="22"/>
          <w:szCs w:val="22"/>
          <w:lang w:val="en-GB"/>
        </w:rPr>
        <w:t xml:space="preserve"> with </w:t>
      </w:r>
      <w:r w:rsidRPr="00C00A53">
        <w:rPr>
          <w:rFonts w:ascii="Calibri" w:eastAsia="Calibri" w:hAnsi="Calibri" w:cs="Calibri"/>
          <w:sz w:val="22"/>
          <w:szCs w:val="22"/>
          <w:lang w:val="en-GB"/>
        </w:rPr>
        <w:t xml:space="preserve">the potential to increase their social and economic impact. Open Science is also the </w:t>
      </w:r>
      <w:r w:rsidRPr="00C00A53">
        <w:rPr>
          <w:rFonts w:ascii="Calibri" w:eastAsia="Calibri" w:hAnsi="Calibri" w:cs="Calibri"/>
          <w:i/>
          <w:iCs/>
          <w:sz w:val="22"/>
          <w:szCs w:val="22"/>
          <w:lang w:val="en-GB"/>
        </w:rPr>
        <w:t>modus operandi</w:t>
      </w:r>
      <w:r w:rsidRPr="00C00A53">
        <w:rPr>
          <w:rFonts w:ascii="Calibri" w:eastAsia="Calibri" w:hAnsi="Calibri" w:cs="Calibri"/>
          <w:sz w:val="22"/>
          <w:szCs w:val="22"/>
          <w:lang w:val="en-GB"/>
        </w:rPr>
        <w:t xml:space="preserve"> in the Horizon Europe framework programme and, to an increasing extent, in funding </w:t>
      </w:r>
      <w:r w:rsidRPr="00742586">
        <w:rPr>
          <w:rFonts w:ascii="Calibri" w:eastAsia="Calibri" w:hAnsi="Calibri" w:cs="Calibri"/>
          <w:sz w:val="22"/>
          <w:szCs w:val="22"/>
          <w:lang w:val="en-GB"/>
        </w:rPr>
        <w:t>programmes</w:t>
      </w:r>
      <w:r w:rsidRPr="00C00A53">
        <w:rPr>
          <w:rFonts w:ascii="Calibri" w:eastAsia="Calibri" w:hAnsi="Calibri" w:cs="Calibri"/>
          <w:sz w:val="22"/>
          <w:szCs w:val="22"/>
          <w:lang w:val="en-GB"/>
        </w:rPr>
        <w:t xml:space="preserve"> in the Czech Republic</w:t>
      </w:r>
      <w:r w:rsidR="002F703C" w:rsidRPr="00742586">
        <w:rPr>
          <w:rFonts w:ascii="Calibri" w:eastAsia="Calibri" w:hAnsi="Calibri" w:cs="Calibri"/>
          <w:sz w:val="22"/>
          <w:szCs w:val="22"/>
          <w:lang w:val="en-GB"/>
        </w:rPr>
        <w:t>.</w:t>
      </w:r>
    </w:p>
    <w:p w14:paraId="20A0959F" w14:textId="632EBDB8" w:rsidR="00934E0A" w:rsidRPr="00742586" w:rsidRDefault="00934E0A" w:rsidP="003C4E9D">
      <w:pPr>
        <w:spacing w:after="0" w:line="240" w:lineRule="auto"/>
        <w:jc w:val="both"/>
        <w:rPr>
          <w:rFonts w:ascii="Calibri" w:eastAsia="Calibri" w:hAnsi="Calibri" w:cs="Calibri"/>
          <w:sz w:val="22"/>
          <w:szCs w:val="22"/>
          <w:lang w:val="en-GB"/>
        </w:rPr>
      </w:pPr>
    </w:p>
    <w:p w14:paraId="4B98ACCF" w14:textId="0EC20607" w:rsidR="00934E0A" w:rsidRPr="00742586" w:rsidRDefault="00C00A53" w:rsidP="003C4E9D">
      <w:pPr>
        <w:pStyle w:val="ListParagraph"/>
        <w:numPr>
          <w:ilvl w:val="0"/>
          <w:numId w:val="5"/>
        </w:numPr>
        <w:spacing w:after="0" w:line="240" w:lineRule="auto"/>
        <w:jc w:val="both"/>
        <w:rPr>
          <w:rFonts w:ascii="Calibri" w:eastAsia="Calibri" w:hAnsi="Calibri" w:cs="Calibri"/>
          <w:b/>
          <w:bCs/>
          <w:sz w:val="22"/>
          <w:szCs w:val="22"/>
          <w:lang w:val="en-GB"/>
        </w:rPr>
      </w:pPr>
      <w:r w:rsidRPr="00742586">
        <w:rPr>
          <w:rFonts w:ascii="Calibri" w:eastAsia="Calibri" w:hAnsi="Calibri" w:cs="Calibri"/>
          <w:b/>
          <w:bCs/>
          <w:sz w:val="22"/>
          <w:szCs w:val="22"/>
          <w:lang w:val="en-GB"/>
        </w:rPr>
        <w:t>Duties and responsibilities of researchers</w:t>
      </w:r>
    </w:p>
    <w:p w14:paraId="47DBB145" w14:textId="77777777" w:rsidR="005F04BF" w:rsidRPr="00742586" w:rsidRDefault="005F04BF" w:rsidP="003C4E9D">
      <w:pPr>
        <w:spacing w:after="0" w:line="240" w:lineRule="auto"/>
        <w:jc w:val="both"/>
        <w:rPr>
          <w:rFonts w:ascii="Calibri" w:eastAsia="Calibri" w:hAnsi="Calibri" w:cs="Calibri"/>
          <w:sz w:val="22"/>
          <w:szCs w:val="22"/>
          <w:lang w:val="en-GB"/>
        </w:rPr>
      </w:pPr>
    </w:p>
    <w:p w14:paraId="3B2A55F2" w14:textId="15B0040E" w:rsidR="00934E0A" w:rsidRPr="00742586" w:rsidRDefault="00C00A53" w:rsidP="003C4E9D">
      <w:pPr>
        <w:spacing w:after="0" w:line="240" w:lineRule="auto"/>
        <w:jc w:val="both"/>
        <w:rPr>
          <w:rFonts w:ascii="Calibri" w:eastAsia="Calibri" w:hAnsi="Calibri" w:cs="Calibri"/>
          <w:sz w:val="22"/>
          <w:szCs w:val="22"/>
          <w:lang w:val="en-GB"/>
        </w:rPr>
      </w:pPr>
      <w:r w:rsidRPr="00C00A53">
        <w:rPr>
          <w:rFonts w:ascii="Calibri" w:eastAsia="Calibri" w:hAnsi="Calibri" w:cs="Calibri"/>
          <w:sz w:val="22"/>
          <w:szCs w:val="22"/>
          <w:lang w:val="en-GB"/>
        </w:rPr>
        <w:t xml:space="preserve">Researchers are responsible for ensuring that their projects comply with the conditions of Open Science. This includes not only </w:t>
      </w:r>
      <w:r w:rsidRPr="00742586">
        <w:rPr>
          <w:rFonts w:ascii="Calibri" w:eastAsia="Calibri" w:hAnsi="Calibri" w:cs="Calibri"/>
          <w:sz w:val="22"/>
          <w:szCs w:val="22"/>
          <w:lang w:val="en-GB"/>
        </w:rPr>
        <w:t xml:space="preserve">the </w:t>
      </w:r>
      <w:r w:rsidRPr="00C00A53">
        <w:rPr>
          <w:rFonts w:ascii="Calibri" w:eastAsia="Calibri" w:hAnsi="Calibri" w:cs="Calibri"/>
          <w:sz w:val="22"/>
          <w:szCs w:val="22"/>
          <w:lang w:val="en-GB"/>
        </w:rPr>
        <w:t xml:space="preserve">dissemination of research data and publications, but also the adequate documentation of research processes, adherence to ethical standards and the protection of individual rights in cases involving personal data or sensitive information. Where necessary, tools for open access </w:t>
      </w:r>
      <w:r w:rsidR="00157172">
        <w:rPr>
          <w:rFonts w:ascii="Calibri" w:eastAsia="Calibri" w:hAnsi="Calibri" w:cs="Calibri"/>
          <w:sz w:val="22"/>
          <w:szCs w:val="22"/>
          <w:lang w:val="en-GB"/>
        </w:rPr>
        <w:t xml:space="preserve">management </w:t>
      </w:r>
      <w:r w:rsidRPr="00C00A53">
        <w:rPr>
          <w:rFonts w:ascii="Calibri" w:eastAsia="Calibri" w:hAnsi="Calibri" w:cs="Calibri"/>
          <w:sz w:val="22"/>
          <w:szCs w:val="22"/>
          <w:lang w:val="en-GB"/>
        </w:rPr>
        <w:t xml:space="preserve">must be used and the conditions of Open Science and data management must be consulted with the </w:t>
      </w:r>
      <w:r w:rsidR="0062741B" w:rsidRPr="00C00A53">
        <w:rPr>
          <w:rFonts w:ascii="Calibri" w:eastAsia="Calibri" w:hAnsi="Calibri" w:cs="Calibri"/>
          <w:sz w:val="22"/>
          <w:szCs w:val="22"/>
          <w:lang w:val="en-GB"/>
        </w:rPr>
        <w:t xml:space="preserve">CTU </w:t>
      </w:r>
      <w:r w:rsidRPr="00C00A53">
        <w:rPr>
          <w:rFonts w:ascii="Calibri" w:eastAsia="Calibri" w:hAnsi="Calibri" w:cs="Calibri"/>
          <w:sz w:val="22"/>
          <w:szCs w:val="22"/>
          <w:lang w:val="en-GB"/>
        </w:rPr>
        <w:t>Central Library</w:t>
      </w:r>
      <w:r w:rsidR="0015238E" w:rsidRPr="00742586">
        <w:rPr>
          <w:rFonts w:ascii="Calibri" w:eastAsia="Calibri" w:hAnsi="Calibri" w:cs="Calibri"/>
          <w:sz w:val="22"/>
          <w:szCs w:val="22"/>
          <w:lang w:val="en-GB"/>
        </w:rPr>
        <w:t>.</w:t>
      </w:r>
    </w:p>
    <w:p w14:paraId="62A45B6A" w14:textId="001F425E" w:rsidR="0EC2AEB2" w:rsidRPr="00742586" w:rsidRDefault="0EC2AEB2" w:rsidP="003C4E9D">
      <w:pPr>
        <w:spacing w:after="0" w:line="240" w:lineRule="auto"/>
        <w:jc w:val="both"/>
        <w:rPr>
          <w:rFonts w:ascii="Calibri" w:eastAsia="Calibri" w:hAnsi="Calibri" w:cs="Calibri"/>
          <w:sz w:val="22"/>
          <w:szCs w:val="22"/>
          <w:lang w:val="en-GB"/>
        </w:rPr>
      </w:pPr>
    </w:p>
    <w:p w14:paraId="622FE919" w14:textId="58421FAB" w:rsidR="00934E0A" w:rsidRPr="00742586" w:rsidRDefault="0062741B" w:rsidP="003C4E9D">
      <w:pPr>
        <w:pStyle w:val="ListParagraph"/>
        <w:numPr>
          <w:ilvl w:val="0"/>
          <w:numId w:val="5"/>
        </w:numPr>
        <w:spacing w:after="0" w:line="240" w:lineRule="auto"/>
        <w:jc w:val="both"/>
        <w:rPr>
          <w:rFonts w:ascii="Calibri" w:eastAsia="Calibri" w:hAnsi="Calibri" w:cs="Calibri"/>
          <w:b/>
          <w:bCs/>
          <w:sz w:val="22"/>
          <w:szCs w:val="22"/>
          <w:lang w:val="en-GB"/>
        </w:rPr>
      </w:pPr>
      <w:r w:rsidRPr="00742586">
        <w:rPr>
          <w:rFonts w:ascii="Calibri" w:eastAsia="Calibri" w:hAnsi="Calibri" w:cs="Calibri"/>
          <w:b/>
          <w:bCs/>
          <w:sz w:val="22"/>
          <w:szCs w:val="22"/>
          <w:lang w:val="en-GB"/>
        </w:rPr>
        <w:t xml:space="preserve">Open Science </w:t>
      </w:r>
      <w:r>
        <w:rPr>
          <w:rFonts w:ascii="Calibri" w:eastAsia="Calibri" w:hAnsi="Calibri" w:cs="Calibri"/>
          <w:b/>
          <w:bCs/>
          <w:sz w:val="22"/>
          <w:szCs w:val="22"/>
          <w:lang w:val="en-GB"/>
        </w:rPr>
        <w:t>m</w:t>
      </w:r>
      <w:r w:rsidR="00742586" w:rsidRPr="00742586">
        <w:rPr>
          <w:rFonts w:ascii="Calibri" w:eastAsia="Calibri" w:hAnsi="Calibri" w:cs="Calibri"/>
          <w:b/>
          <w:bCs/>
          <w:sz w:val="22"/>
          <w:szCs w:val="22"/>
          <w:lang w:val="en-GB"/>
        </w:rPr>
        <w:t>onitoring and reporting</w:t>
      </w:r>
    </w:p>
    <w:p w14:paraId="1B956AF0" w14:textId="77777777" w:rsidR="00952263" w:rsidRPr="00742586" w:rsidRDefault="00952263" w:rsidP="003C4E9D">
      <w:pPr>
        <w:spacing w:after="0" w:line="240" w:lineRule="auto"/>
        <w:jc w:val="both"/>
        <w:rPr>
          <w:rFonts w:ascii="Calibri" w:eastAsia="Calibri" w:hAnsi="Calibri" w:cs="Calibri"/>
          <w:b/>
          <w:bCs/>
          <w:sz w:val="22"/>
          <w:szCs w:val="22"/>
          <w:lang w:val="en-GB"/>
        </w:rPr>
      </w:pPr>
    </w:p>
    <w:p w14:paraId="630E4929" w14:textId="1C985159" w:rsidR="00934E0A" w:rsidRPr="00742586" w:rsidRDefault="0015238E" w:rsidP="003C4E9D">
      <w:pPr>
        <w:spacing w:after="0" w:line="240" w:lineRule="auto"/>
        <w:jc w:val="both"/>
        <w:rPr>
          <w:rFonts w:ascii="Calibri" w:eastAsia="Calibri" w:hAnsi="Calibri" w:cs="Calibri"/>
          <w:sz w:val="22"/>
          <w:szCs w:val="22"/>
          <w:lang w:val="en-GB"/>
        </w:rPr>
      </w:pPr>
      <w:r w:rsidRPr="00742586">
        <w:rPr>
          <w:rFonts w:ascii="Calibri" w:eastAsia="Calibri" w:hAnsi="Calibri" w:cs="Calibri"/>
          <w:sz w:val="22"/>
          <w:szCs w:val="22"/>
          <w:lang w:val="en-GB"/>
        </w:rPr>
        <w:t>SNG</w:t>
      </w:r>
      <w:r w:rsidR="00934E0A" w:rsidRPr="00742586">
        <w:rPr>
          <w:rFonts w:ascii="Calibri" w:eastAsia="Calibri" w:hAnsi="Calibri" w:cs="Calibri"/>
          <w:sz w:val="22"/>
          <w:szCs w:val="22"/>
          <w:lang w:val="en-GB"/>
        </w:rPr>
        <w:t xml:space="preserve"> </w:t>
      </w:r>
      <w:r w:rsidR="00742586" w:rsidRPr="00742586">
        <w:rPr>
          <w:rFonts w:ascii="Calibri" w:eastAsia="Calibri" w:hAnsi="Calibri" w:cs="Calibri"/>
          <w:sz w:val="22"/>
          <w:szCs w:val="22"/>
          <w:lang w:val="en-GB"/>
        </w:rPr>
        <w:t>will monitor the implementation of the principles of Open Science in the RG and will regularly verify compliance with the CTU Return Grant</w:t>
      </w:r>
      <w:r w:rsidR="00157172">
        <w:rPr>
          <w:rFonts w:ascii="Calibri" w:eastAsia="Calibri" w:hAnsi="Calibri" w:cs="Calibri"/>
          <w:sz w:val="22"/>
          <w:szCs w:val="22"/>
          <w:lang w:val="en-GB"/>
        </w:rPr>
        <w:t>s</w:t>
      </w:r>
      <w:r w:rsidR="00742586" w:rsidRPr="00742586">
        <w:rPr>
          <w:rFonts w:ascii="Calibri" w:eastAsia="Calibri" w:hAnsi="Calibri" w:cs="Calibri"/>
          <w:sz w:val="22"/>
          <w:szCs w:val="22"/>
          <w:lang w:val="en-GB"/>
        </w:rPr>
        <w:t xml:space="preserve"> Guide, in particular through the relevant Activity Progress Report(s) / Final Report. In the relevant Activity Progress Report(s) / Final Report, the RG </w:t>
      </w:r>
      <w:r w:rsidR="00742586" w:rsidRPr="00742586">
        <w:rPr>
          <w:rFonts w:ascii="Calibri" w:eastAsia="Calibri" w:hAnsi="Calibri" w:cs="Calibri"/>
          <w:sz w:val="22"/>
          <w:szCs w:val="22"/>
          <w:lang w:val="en-GB"/>
        </w:rPr>
        <w:lastRenderedPageBreak/>
        <w:t xml:space="preserve">principal investigators will regularly provide updates on the data and publication dissemination </w:t>
      </w:r>
      <w:r w:rsidR="0062741B" w:rsidRPr="00742586">
        <w:rPr>
          <w:rFonts w:ascii="Calibri" w:eastAsia="Calibri" w:hAnsi="Calibri" w:cs="Calibri"/>
          <w:sz w:val="22"/>
          <w:szCs w:val="22"/>
          <w:lang w:val="en-GB"/>
        </w:rPr>
        <w:t xml:space="preserve">progress </w:t>
      </w:r>
      <w:r w:rsidR="00742586" w:rsidRPr="00742586">
        <w:rPr>
          <w:rFonts w:ascii="Calibri" w:eastAsia="Calibri" w:hAnsi="Calibri" w:cs="Calibri"/>
          <w:sz w:val="22"/>
          <w:szCs w:val="22"/>
          <w:lang w:val="en-GB"/>
        </w:rPr>
        <w:t>and will report on challenges and issues that may arise in meeting these requirements</w:t>
      </w:r>
      <w:r w:rsidR="00934E0A" w:rsidRPr="00742586">
        <w:rPr>
          <w:rFonts w:ascii="Calibri" w:eastAsia="Calibri" w:hAnsi="Calibri" w:cs="Calibri"/>
          <w:sz w:val="22"/>
          <w:szCs w:val="22"/>
          <w:lang w:val="en-GB"/>
        </w:rPr>
        <w:t>.</w:t>
      </w:r>
    </w:p>
    <w:p w14:paraId="56ACD538" w14:textId="77777777" w:rsidR="001E19F6" w:rsidRPr="00742586" w:rsidRDefault="001E19F6" w:rsidP="003C4E9D">
      <w:pPr>
        <w:spacing w:after="0" w:line="240" w:lineRule="auto"/>
        <w:jc w:val="both"/>
        <w:rPr>
          <w:rFonts w:ascii="Calibri" w:eastAsia="Calibri" w:hAnsi="Calibri" w:cs="Calibri"/>
          <w:sz w:val="22"/>
          <w:szCs w:val="22"/>
          <w:lang w:val="en-GB"/>
        </w:rPr>
      </w:pPr>
    </w:p>
    <w:p w14:paraId="66D2F731" w14:textId="1A758905" w:rsidR="00194BB9" w:rsidRPr="00742586" w:rsidRDefault="00742586" w:rsidP="003C4E9D">
      <w:pPr>
        <w:pStyle w:val="ListParagraph"/>
        <w:numPr>
          <w:ilvl w:val="0"/>
          <w:numId w:val="5"/>
        </w:numPr>
        <w:spacing w:line="240" w:lineRule="auto"/>
        <w:jc w:val="both"/>
        <w:rPr>
          <w:rFonts w:ascii="Calibri" w:eastAsia="Calibri" w:hAnsi="Calibri" w:cs="Calibri"/>
          <w:sz w:val="22"/>
          <w:szCs w:val="22"/>
          <w:lang w:val="en-GB"/>
        </w:rPr>
      </w:pPr>
      <w:r w:rsidRPr="00742586">
        <w:rPr>
          <w:rFonts w:ascii="Calibri" w:eastAsia="Calibri" w:hAnsi="Calibri" w:cs="Calibri"/>
          <w:b/>
          <w:bCs/>
          <w:sz w:val="22"/>
          <w:szCs w:val="22"/>
          <w:lang w:val="en-GB"/>
        </w:rPr>
        <w:t>At the level of RG</w:t>
      </w:r>
      <w:r w:rsidR="00157172">
        <w:rPr>
          <w:rFonts w:ascii="Calibri" w:eastAsia="Calibri" w:hAnsi="Calibri" w:cs="Calibri"/>
          <w:b/>
          <w:bCs/>
          <w:sz w:val="22"/>
          <w:szCs w:val="22"/>
          <w:lang w:val="en-GB"/>
        </w:rPr>
        <w:t>,</w:t>
      </w:r>
      <w:r w:rsidRPr="00742586">
        <w:rPr>
          <w:rFonts w:ascii="Calibri" w:eastAsia="Calibri" w:hAnsi="Calibri" w:cs="Calibri"/>
          <w:b/>
          <w:bCs/>
          <w:sz w:val="22"/>
          <w:szCs w:val="22"/>
          <w:lang w:val="en-GB"/>
        </w:rPr>
        <w:t xml:space="preserve"> it is necessary to ensure primarily</w:t>
      </w:r>
      <w:r w:rsidR="00194BB9" w:rsidRPr="00742586">
        <w:rPr>
          <w:rFonts w:ascii="Calibri" w:eastAsia="Calibri" w:hAnsi="Calibri" w:cs="Calibri"/>
          <w:b/>
          <w:bCs/>
          <w:sz w:val="22"/>
          <w:szCs w:val="22"/>
          <w:lang w:val="en-GB"/>
        </w:rPr>
        <w:t>:</w:t>
      </w:r>
    </w:p>
    <w:p w14:paraId="54FB64D3" w14:textId="014C5321" w:rsidR="004D06B9" w:rsidRPr="00742586" w:rsidRDefault="00742586" w:rsidP="003C4E9D">
      <w:pPr>
        <w:pStyle w:val="ListParagraph"/>
        <w:numPr>
          <w:ilvl w:val="0"/>
          <w:numId w:val="7"/>
        </w:numPr>
        <w:spacing w:line="240" w:lineRule="auto"/>
        <w:ind w:left="993" w:hanging="284"/>
        <w:jc w:val="both"/>
        <w:rPr>
          <w:rFonts w:ascii="Calibri" w:eastAsia="Calibri" w:hAnsi="Calibri" w:cs="Calibri"/>
          <w:sz w:val="22"/>
          <w:szCs w:val="22"/>
          <w:lang w:val="en-GB"/>
        </w:rPr>
      </w:pPr>
      <w:r w:rsidRPr="00742586">
        <w:rPr>
          <w:rFonts w:ascii="Calibri" w:eastAsia="Calibri" w:hAnsi="Calibri" w:cs="Calibri"/>
          <w:sz w:val="22"/>
          <w:szCs w:val="22"/>
          <w:lang w:val="en-GB"/>
        </w:rPr>
        <w:t>open access to peer</w:t>
      </w:r>
      <w:r w:rsidRPr="00742586">
        <w:rPr>
          <w:rFonts w:ascii="Cambria Math" w:eastAsia="Calibri" w:hAnsi="Cambria Math" w:cs="Cambria Math"/>
          <w:sz w:val="22"/>
          <w:szCs w:val="22"/>
          <w:lang w:val="en-GB"/>
        </w:rPr>
        <w:t>‑</w:t>
      </w:r>
      <w:r w:rsidRPr="00742586">
        <w:rPr>
          <w:rFonts w:ascii="Calibri" w:eastAsia="Calibri" w:hAnsi="Calibri" w:cs="Calibri"/>
          <w:sz w:val="22"/>
          <w:szCs w:val="22"/>
          <w:lang w:val="en-GB"/>
        </w:rPr>
        <w:t>reviewed scientific publications resulting from research funded under the project</w:t>
      </w:r>
      <w:r w:rsidR="004D06B9" w:rsidRPr="00742586">
        <w:rPr>
          <w:rFonts w:ascii="Calibri" w:eastAsia="Calibri" w:hAnsi="Calibri" w:cs="Calibri"/>
          <w:sz w:val="22"/>
          <w:szCs w:val="22"/>
          <w:lang w:val="en-GB"/>
        </w:rPr>
        <w:t xml:space="preserve"> </w:t>
      </w:r>
    </w:p>
    <w:p w14:paraId="4B57D0D6" w14:textId="29E10D03" w:rsidR="004D06B9" w:rsidRPr="00742586" w:rsidRDefault="00742586" w:rsidP="003C4E9D">
      <w:pPr>
        <w:pStyle w:val="ListParagraph"/>
        <w:numPr>
          <w:ilvl w:val="0"/>
          <w:numId w:val="7"/>
        </w:numPr>
        <w:spacing w:line="240" w:lineRule="auto"/>
        <w:ind w:left="993" w:hanging="284"/>
        <w:jc w:val="both"/>
        <w:rPr>
          <w:rFonts w:ascii="Calibri" w:eastAsia="Calibri" w:hAnsi="Calibri" w:cs="Calibri"/>
          <w:sz w:val="22"/>
          <w:szCs w:val="22"/>
          <w:lang w:val="en-GB"/>
        </w:rPr>
      </w:pPr>
      <w:r w:rsidRPr="00742586">
        <w:rPr>
          <w:rFonts w:ascii="Calibri" w:eastAsia="Calibri" w:hAnsi="Calibri" w:cs="Calibri"/>
          <w:sz w:val="22"/>
          <w:szCs w:val="22"/>
          <w:lang w:val="en-GB"/>
        </w:rPr>
        <w:t>the management of research data in accordance with the FAIR principles and open access to such data</w:t>
      </w:r>
      <w:r w:rsidR="004D06B9" w:rsidRPr="00742586">
        <w:rPr>
          <w:rFonts w:ascii="Calibri" w:eastAsia="Calibri" w:hAnsi="Calibri" w:cs="Calibri"/>
          <w:sz w:val="22"/>
          <w:szCs w:val="22"/>
          <w:lang w:val="en-GB"/>
        </w:rPr>
        <w:t xml:space="preserve"> </w:t>
      </w:r>
    </w:p>
    <w:p w14:paraId="7927F7BC" w14:textId="624FB1AB" w:rsidR="001E19F6" w:rsidRPr="00742586" w:rsidRDefault="00742586" w:rsidP="003C4E9D">
      <w:pPr>
        <w:spacing w:line="240" w:lineRule="auto"/>
        <w:jc w:val="both"/>
        <w:rPr>
          <w:rFonts w:ascii="Calibri" w:eastAsia="Calibri" w:hAnsi="Calibri" w:cs="Calibri"/>
          <w:b/>
          <w:bCs/>
          <w:sz w:val="22"/>
          <w:szCs w:val="22"/>
          <w:lang w:val="en-GB"/>
        </w:rPr>
      </w:pPr>
      <w:r w:rsidRPr="00742586">
        <w:rPr>
          <w:rFonts w:ascii="Calibri" w:eastAsia="Calibri" w:hAnsi="Calibri" w:cs="Calibri"/>
          <w:b/>
          <w:bCs/>
          <w:sz w:val="22"/>
          <w:szCs w:val="22"/>
          <w:lang w:val="en-GB"/>
        </w:rPr>
        <w:t>Open access to peer</w:t>
      </w:r>
      <w:r w:rsidRPr="00742586">
        <w:rPr>
          <w:rFonts w:ascii="Cambria Math" w:eastAsia="Calibri" w:hAnsi="Cambria Math" w:cs="Cambria Math"/>
          <w:b/>
          <w:bCs/>
          <w:sz w:val="22"/>
          <w:szCs w:val="22"/>
          <w:lang w:val="en-GB"/>
        </w:rPr>
        <w:t>‑</w:t>
      </w:r>
      <w:r w:rsidRPr="00742586">
        <w:rPr>
          <w:rFonts w:ascii="Calibri" w:eastAsia="Calibri" w:hAnsi="Calibri" w:cs="Calibri"/>
          <w:b/>
          <w:bCs/>
          <w:sz w:val="22"/>
          <w:szCs w:val="22"/>
          <w:lang w:val="en-GB"/>
        </w:rPr>
        <w:t>reviewed scientific publications means in particular</w:t>
      </w:r>
      <w:r w:rsidR="00A6615D" w:rsidRPr="00742586">
        <w:rPr>
          <w:rFonts w:ascii="Calibri" w:eastAsia="Calibri" w:hAnsi="Calibri" w:cs="Calibri"/>
          <w:b/>
          <w:bCs/>
          <w:sz w:val="22"/>
          <w:szCs w:val="22"/>
          <w:lang w:val="en-GB"/>
        </w:rPr>
        <w:t>:</w:t>
      </w:r>
    </w:p>
    <w:p w14:paraId="19AE5255" w14:textId="2842E5D8" w:rsidR="005415B5" w:rsidRPr="00742586" w:rsidRDefault="0062741B" w:rsidP="005415B5">
      <w:pPr>
        <w:pStyle w:val="ListParagraph"/>
        <w:numPr>
          <w:ilvl w:val="0"/>
          <w:numId w:val="2"/>
        </w:numPr>
        <w:spacing w:after="0" w:line="240" w:lineRule="auto"/>
        <w:ind w:left="993" w:hanging="273"/>
        <w:jc w:val="both"/>
        <w:rPr>
          <w:rFonts w:ascii="Calibri" w:eastAsia="Calibri" w:hAnsi="Calibri" w:cs="Calibri"/>
          <w:sz w:val="22"/>
          <w:szCs w:val="22"/>
          <w:lang w:val="en-GB"/>
        </w:rPr>
      </w:pPr>
      <w:r>
        <w:rPr>
          <w:rFonts w:ascii="Calibri" w:eastAsia="Calibri" w:hAnsi="Calibri" w:cs="Calibri"/>
          <w:sz w:val="22"/>
          <w:szCs w:val="22"/>
          <w:lang w:val="en-GB"/>
        </w:rPr>
        <w:t>depositing</w:t>
      </w:r>
      <w:r w:rsidR="00742586" w:rsidRPr="00742586">
        <w:rPr>
          <w:rFonts w:ascii="Calibri" w:eastAsia="Calibri" w:hAnsi="Calibri" w:cs="Calibri"/>
          <w:sz w:val="22"/>
          <w:szCs w:val="22"/>
          <w:lang w:val="en-GB"/>
        </w:rPr>
        <w:t xml:space="preserve"> </w:t>
      </w:r>
      <w:r w:rsidR="00742586">
        <w:rPr>
          <w:rFonts w:ascii="Calibri" w:eastAsia="Calibri" w:hAnsi="Calibri" w:cs="Calibri"/>
          <w:sz w:val="22"/>
          <w:szCs w:val="22"/>
          <w:lang w:val="en-GB"/>
        </w:rPr>
        <w:t>the</w:t>
      </w:r>
      <w:r w:rsidR="00742586" w:rsidRPr="00742586">
        <w:rPr>
          <w:rFonts w:ascii="Calibri" w:eastAsia="Calibri" w:hAnsi="Calibri" w:cs="Calibri"/>
          <w:sz w:val="22"/>
          <w:szCs w:val="22"/>
          <w:lang w:val="en-GB"/>
        </w:rPr>
        <w:t xml:space="preserve"> publisher’s final machine</w:t>
      </w:r>
      <w:r w:rsidR="00742586" w:rsidRPr="00742586">
        <w:rPr>
          <w:rFonts w:ascii="Cambria Math" w:eastAsia="Calibri" w:hAnsi="Cambria Math" w:cs="Cambria Math"/>
          <w:sz w:val="22"/>
          <w:szCs w:val="22"/>
          <w:lang w:val="en-GB"/>
        </w:rPr>
        <w:t>‑</w:t>
      </w:r>
      <w:r w:rsidR="00742586" w:rsidRPr="00742586">
        <w:rPr>
          <w:rFonts w:ascii="Calibri" w:eastAsia="Calibri" w:hAnsi="Calibri" w:cs="Calibri"/>
          <w:sz w:val="22"/>
          <w:szCs w:val="22"/>
          <w:lang w:val="en-GB"/>
        </w:rPr>
        <w:t>readable electronic version or the final peer</w:t>
      </w:r>
      <w:r w:rsidR="00742586" w:rsidRPr="00742586">
        <w:rPr>
          <w:rFonts w:ascii="Cambria Math" w:eastAsia="Calibri" w:hAnsi="Cambria Math" w:cs="Cambria Math"/>
          <w:sz w:val="22"/>
          <w:szCs w:val="22"/>
          <w:lang w:val="en-GB"/>
        </w:rPr>
        <w:t>‑</w:t>
      </w:r>
      <w:r w:rsidR="00742586" w:rsidRPr="00742586">
        <w:rPr>
          <w:rFonts w:ascii="Calibri" w:eastAsia="Calibri" w:hAnsi="Calibri" w:cs="Calibri"/>
          <w:sz w:val="22"/>
          <w:szCs w:val="22"/>
          <w:lang w:val="en-GB"/>
        </w:rPr>
        <w:t>reviewed manuscript accepted for publication (i.e. the version incorporating revisions resulting from the peer</w:t>
      </w:r>
      <w:r w:rsidR="00742586" w:rsidRPr="00742586">
        <w:rPr>
          <w:rFonts w:ascii="Cambria Math" w:eastAsia="Calibri" w:hAnsi="Cambria Math" w:cs="Cambria Math"/>
          <w:sz w:val="22"/>
          <w:szCs w:val="22"/>
          <w:lang w:val="en-GB"/>
        </w:rPr>
        <w:t>‑</w:t>
      </w:r>
      <w:r w:rsidR="00742586" w:rsidRPr="00742586">
        <w:rPr>
          <w:rFonts w:ascii="Calibri" w:eastAsia="Calibri" w:hAnsi="Calibri" w:cs="Calibri"/>
          <w:sz w:val="22"/>
          <w:szCs w:val="22"/>
          <w:lang w:val="en-GB"/>
        </w:rPr>
        <w:t xml:space="preserve">review process) in a trusted repository without undue delay, immediately after the date of publication (i.e. deposition in the repository without unnecessary delay, as soon as technically possible). The date of publication </w:t>
      </w:r>
      <w:r w:rsidR="00742586">
        <w:rPr>
          <w:rFonts w:ascii="Calibri" w:eastAsia="Calibri" w:hAnsi="Calibri" w:cs="Calibri"/>
          <w:sz w:val="22"/>
          <w:szCs w:val="22"/>
          <w:lang w:val="en-GB"/>
        </w:rPr>
        <w:t>is defined as</w:t>
      </w:r>
      <w:r w:rsidR="00742586" w:rsidRPr="00742586">
        <w:rPr>
          <w:rFonts w:ascii="Calibri" w:eastAsia="Calibri" w:hAnsi="Calibri" w:cs="Calibri"/>
          <w:sz w:val="22"/>
          <w:szCs w:val="22"/>
          <w:lang w:val="en-GB"/>
        </w:rPr>
        <w:t xml:space="preserve"> the date on which the publisher makes the digital version of the article publicly available</w:t>
      </w:r>
    </w:p>
    <w:p w14:paraId="4F99582D" w14:textId="586CF565" w:rsidR="005415B5" w:rsidRPr="00742586" w:rsidRDefault="00742586" w:rsidP="005415B5">
      <w:pPr>
        <w:pStyle w:val="ListParagraph"/>
        <w:numPr>
          <w:ilvl w:val="0"/>
          <w:numId w:val="2"/>
        </w:numPr>
        <w:spacing w:after="0" w:line="240" w:lineRule="auto"/>
        <w:ind w:left="993" w:hanging="273"/>
        <w:jc w:val="both"/>
        <w:rPr>
          <w:rFonts w:ascii="Calibri" w:eastAsia="Calibri" w:hAnsi="Calibri" w:cs="Calibri"/>
          <w:sz w:val="22"/>
          <w:szCs w:val="22"/>
          <w:lang w:val="en-GB"/>
        </w:rPr>
      </w:pPr>
      <w:r w:rsidRPr="00742586">
        <w:rPr>
          <w:rFonts w:ascii="Calibri" w:eastAsia="Calibri" w:hAnsi="Calibri" w:cs="Calibri"/>
          <w:sz w:val="22"/>
          <w:szCs w:val="22"/>
          <w:lang w:val="en-GB"/>
        </w:rPr>
        <w:t>ensuring immediate (i.e. without an embargo) and open (i.e. free of charge, permanent and unrestricted) access to the article under the terms of the latest available version of the Creative Commons Attribution International</w:t>
      </w:r>
      <w:r>
        <w:rPr>
          <w:rFonts w:ascii="Calibri" w:eastAsia="Calibri" w:hAnsi="Calibri" w:cs="Calibri"/>
          <w:sz w:val="22"/>
          <w:szCs w:val="22"/>
          <w:lang w:val="en-GB"/>
        </w:rPr>
        <w:t xml:space="preserve"> </w:t>
      </w:r>
      <w:r w:rsidR="005415B5" w:rsidRPr="00742586">
        <w:rPr>
          <w:rFonts w:ascii="Calibri" w:eastAsia="Calibri" w:hAnsi="Calibri" w:cs="Calibri"/>
          <w:sz w:val="22"/>
          <w:szCs w:val="22"/>
          <w:lang w:val="en-GB"/>
        </w:rPr>
        <w:t>(CC BY 4.0)</w:t>
      </w:r>
      <w:r w:rsidR="000831EE" w:rsidRPr="00742586">
        <w:rPr>
          <w:rStyle w:val="FootnoteReference"/>
          <w:rFonts w:ascii="Calibri" w:eastAsia="Calibri" w:hAnsi="Calibri" w:cs="Calibri"/>
          <w:sz w:val="22"/>
          <w:szCs w:val="22"/>
          <w:lang w:val="en-GB"/>
        </w:rPr>
        <w:footnoteReference w:id="1"/>
      </w:r>
      <w:r w:rsidR="005415B5" w:rsidRPr="00742586">
        <w:rPr>
          <w:rFonts w:ascii="Calibri" w:eastAsia="Calibri" w:hAnsi="Calibri" w:cs="Calibri"/>
          <w:sz w:val="22"/>
          <w:szCs w:val="22"/>
          <w:lang w:val="en-GB"/>
        </w:rPr>
        <w:t xml:space="preserve"> </w:t>
      </w:r>
      <w:r w:rsidRPr="00742586">
        <w:rPr>
          <w:rFonts w:ascii="Calibri" w:eastAsia="Calibri" w:hAnsi="Calibri" w:cs="Calibri"/>
          <w:sz w:val="22"/>
          <w:szCs w:val="22"/>
          <w:lang w:val="en-GB"/>
        </w:rPr>
        <w:t xml:space="preserve">public licence. </w:t>
      </w:r>
      <w:r w:rsidR="006B489A">
        <w:rPr>
          <w:rFonts w:ascii="Calibri" w:eastAsia="Calibri" w:hAnsi="Calibri" w:cs="Calibri"/>
          <w:sz w:val="22"/>
          <w:szCs w:val="22"/>
          <w:lang w:val="en-GB"/>
        </w:rPr>
        <w:t>A</w:t>
      </w:r>
      <w:r w:rsidRPr="00742586">
        <w:rPr>
          <w:rFonts w:ascii="Calibri" w:eastAsia="Calibri" w:hAnsi="Calibri" w:cs="Calibri"/>
          <w:sz w:val="22"/>
          <w:szCs w:val="22"/>
          <w:lang w:val="en-GB"/>
        </w:rPr>
        <w:t xml:space="preserve"> more restrictive licence is permissible if the publisher does not allow publication under open access with a CC BY licence. Even in cases where a more restrictive licence is granted, immediate and open access in a trusted repository must still be guaranteed</w:t>
      </w:r>
    </w:p>
    <w:p w14:paraId="44C4699A" w14:textId="4853B8BF" w:rsidR="00017D89" w:rsidRPr="00742586" w:rsidRDefault="006B489A" w:rsidP="003C4E9D">
      <w:pPr>
        <w:pStyle w:val="ListParagraph"/>
        <w:numPr>
          <w:ilvl w:val="0"/>
          <w:numId w:val="2"/>
        </w:numPr>
        <w:spacing w:after="0" w:line="240" w:lineRule="auto"/>
        <w:ind w:left="993" w:hanging="273"/>
        <w:jc w:val="both"/>
        <w:rPr>
          <w:rFonts w:ascii="Calibri" w:eastAsia="Calibri" w:hAnsi="Calibri" w:cs="Calibri"/>
          <w:sz w:val="22"/>
          <w:szCs w:val="22"/>
          <w:lang w:val="en-GB"/>
        </w:rPr>
      </w:pPr>
      <w:r w:rsidRPr="006B489A">
        <w:rPr>
          <w:rFonts w:ascii="Calibri" w:eastAsia="Calibri" w:hAnsi="Calibri" w:cs="Calibri"/>
          <w:sz w:val="22"/>
          <w:szCs w:val="22"/>
          <w:lang w:val="en-GB"/>
        </w:rPr>
        <w:t>providing information (</w:t>
      </w:r>
      <w:r w:rsidR="00D07DC5">
        <w:rPr>
          <w:rFonts w:ascii="Calibri" w:eastAsia="Calibri" w:hAnsi="Calibri" w:cs="Calibri"/>
          <w:sz w:val="22"/>
          <w:szCs w:val="22"/>
          <w:lang w:val="en-GB"/>
        </w:rPr>
        <w:t xml:space="preserve">a </w:t>
      </w:r>
      <w:r w:rsidRPr="006B489A">
        <w:rPr>
          <w:rFonts w:ascii="Calibri" w:eastAsia="Calibri" w:hAnsi="Calibri" w:cs="Calibri"/>
          <w:sz w:val="22"/>
          <w:szCs w:val="22"/>
          <w:lang w:val="en-GB"/>
        </w:rPr>
        <w:t>reference) on any other research output or tools necessary to verify the conclusions of the article as part of the article’s record (metadata) in the trusted repository</w:t>
      </w:r>
    </w:p>
    <w:p w14:paraId="171AD8A8" w14:textId="77777777" w:rsidR="006C5FB1" w:rsidRPr="00742586" w:rsidRDefault="006C5FB1" w:rsidP="003C4E9D">
      <w:pPr>
        <w:pStyle w:val="ListParagraph"/>
        <w:spacing w:after="0" w:line="240" w:lineRule="auto"/>
        <w:ind w:left="993"/>
        <w:jc w:val="both"/>
        <w:rPr>
          <w:rFonts w:ascii="Calibri" w:eastAsia="Calibri" w:hAnsi="Calibri" w:cs="Calibri"/>
          <w:sz w:val="22"/>
          <w:szCs w:val="22"/>
          <w:lang w:val="en-GB"/>
        </w:rPr>
      </w:pPr>
    </w:p>
    <w:p w14:paraId="68A4A985" w14:textId="402F5E08" w:rsidR="00DA1129" w:rsidRPr="00742586" w:rsidRDefault="006B489A" w:rsidP="003C4E9D">
      <w:pPr>
        <w:spacing w:line="240" w:lineRule="auto"/>
        <w:jc w:val="both"/>
        <w:rPr>
          <w:rFonts w:ascii="Calibri" w:eastAsia="Calibri" w:hAnsi="Calibri" w:cs="Calibri"/>
          <w:sz w:val="22"/>
          <w:szCs w:val="22"/>
          <w:lang w:val="en-GB"/>
        </w:rPr>
      </w:pPr>
      <w:r w:rsidRPr="006B489A">
        <w:rPr>
          <w:rFonts w:ascii="Calibri" w:eastAsia="Calibri" w:hAnsi="Calibri" w:cs="Calibri"/>
          <w:sz w:val="22"/>
          <w:szCs w:val="22"/>
          <w:lang w:val="en-GB"/>
        </w:rPr>
        <w:t xml:space="preserve">The beneficiary (or the authors) is obliged to retain the economic copyright to the article to </w:t>
      </w:r>
      <w:r>
        <w:rPr>
          <w:rFonts w:ascii="Calibri" w:eastAsia="Calibri" w:hAnsi="Calibri" w:cs="Calibri"/>
          <w:sz w:val="22"/>
          <w:szCs w:val="22"/>
          <w:lang w:val="en-GB"/>
        </w:rPr>
        <w:t>the</w:t>
      </w:r>
      <w:r w:rsidRPr="006B489A">
        <w:rPr>
          <w:rFonts w:ascii="Calibri" w:eastAsia="Calibri" w:hAnsi="Calibri" w:cs="Calibri"/>
          <w:sz w:val="22"/>
          <w:szCs w:val="22"/>
          <w:lang w:val="en-GB"/>
        </w:rPr>
        <w:t xml:space="preserve"> extent that it is possible to meet the prescribed obligations. When concluding a (licensing) agreement with the publisher, the beneficiary/authors must not transfer economic rights to the publisher; that is, they may grant the publisher only a non</w:t>
      </w:r>
      <w:r w:rsidRPr="006B489A">
        <w:rPr>
          <w:rFonts w:ascii="Cambria Math" w:eastAsia="Calibri" w:hAnsi="Cambria Math" w:cs="Cambria Math"/>
          <w:sz w:val="22"/>
          <w:szCs w:val="22"/>
          <w:lang w:val="en-GB"/>
        </w:rPr>
        <w:t>‑</w:t>
      </w:r>
      <w:r w:rsidRPr="006B489A">
        <w:rPr>
          <w:rFonts w:ascii="Calibri" w:eastAsia="Calibri" w:hAnsi="Calibri" w:cs="Calibri"/>
          <w:sz w:val="22"/>
          <w:szCs w:val="22"/>
          <w:lang w:val="en-GB"/>
        </w:rPr>
        <w:t>exclusive licence necessary for the publication of the article, but one that does not restrict the beneficiary/authors in their ability to make the article immediately available under Creative Commons licences.</w:t>
      </w:r>
    </w:p>
    <w:p w14:paraId="100851B9" w14:textId="2F66EDA5" w:rsidR="00DA1129" w:rsidRPr="00742586" w:rsidRDefault="006B489A" w:rsidP="003C4E9D">
      <w:pPr>
        <w:spacing w:line="240" w:lineRule="auto"/>
        <w:jc w:val="both"/>
        <w:rPr>
          <w:rFonts w:ascii="Calibri" w:eastAsia="Calibri" w:hAnsi="Calibri" w:cs="Calibri"/>
          <w:sz w:val="22"/>
          <w:szCs w:val="22"/>
          <w:lang w:val="en-GB"/>
        </w:rPr>
      </w:pPr>
      <w:r w:rsidRPr="006B489A">
        <w:rPr>
          <w:rFonts w:ascii="Calibri" w:eastAsia="Calibri" w:hAnsi="Calibri" w:cs="Calibri"/>
          <w:sz w:val="22"/>
          <w:szCs w:val="22"/>
          <w:lang w:val="en-GB"/>
        </w:rPr>
        <w:t>The metadata of articles deposited in the repository must be publicly accessible and machine</w:t>
      </w:r>
      <w:r w:rsidRPr="006B489A">
        <w:rPr>
          <w:rFonts w:ascii="Cambria Math" w:eastAsia="Calibri" w:hAnsi="Cambria Math" w:cs="Cambria Math"/>
          <w:sz w:val="22"/>
          <w:szCs w:val="22"/>
          <w:lang w:val="en-GB"/>
        </w:rPr>
        <w:t>‑</w:t>
      </w:r>
      <w:r w:rsidRPr="006B489A">
        <w:rPr>
          <w:rFonts w:ascii="Calibri" w:eastAsia="Calibri" w:hAnsi="Calibri" w:cs="Calibri"/>
          <w:sz w:val="22"/>
          <w:szCs w:val="22"/>
          <w:lang w:val="en-GB"/>
        </w:rPr>
        <w:t xml:space="preserve">readable so that the metadata comply with the FAIR principles and with the General </w:t>
      </w:r>
      <w:r w:rsidR="005D1849" w:rsidRPr="006B489A">
        <w:rPr>
          <w:rFonts w:ascii="Calibri" w:eastAsia="Calibri" w:hAnsi="Calibri" w:cs="Calibri"/>
          <w:sz w:val="22"/>
          <w:szCs w:val="22"/>
          <w:lang w:val="en-GB"/>
        </w:rPr>
        <w:t xml:space="preserve">Recommendation </w:t>
      </w:r>
      <w:r w:rsidR="005D1849">
        <w:rPr>
          <w:rFonts w:ascii="Calibri" w:eastAsia="Calibri" w:hAnsi="Calibri" w:cs="Calibri"/>
          <w:sz w:val="22"/>
          <w:szCs w:val="22"/>
          <w:lang w:val="en-GB"/>
        </w:rPr>
        <w:t>for</w:t>
      </w:r>
      <w:r>
        <w:rPr>
          <w:rFonts w:ascii="Calibri" w:eastAsia="Calibri" w:hAnsi="Calibri" w:cs="Calibri"/>
          <w:sz w:val="22"/>
          <w:szCs w:val="22"/>
          <w:lang w:val="en-GB"/>
        </w:rPr>
        <w:t xml:space="preserve"> </w:t>
      </w:r>
      <w:r w:rsidR="00DA1129" w:rsidRPr="00742586">
        <w:rPr>
          <w:rFonts w:ascii="Calibri" w:eastAsia="Calibri" w:hAnsi="Calibri" w:cs="Calibri"/>
          <w:sz w:val="22"/>
          <w:szCs w:val="22"/>
          <w:lang w:val="en-GB"/>
        </w:rPr>
        <w:t xml:space="preserve">Metadata </w:t>
      </w:r>
      <w:r w:rsidR="005D1849">
        <w:rPr>
          <w:rFonts w:ascii="Calibri" w:eastAsia="Calibri" w:hAnsi="Calibri" w:cs="Calibri"/>
          <w:sz w:val="22"/>
          <w:szCs w:val="22"/>
          <w:lang w:val="en-GB"/>
        </w:rPr>
        <w:t>Descriptions.</w:t>
      </w:r>
      <w:r w:rsidR="00E27F32" w:rsidRPr="00742586">
        <w:rPr>
          <w:rStyle w:val="FootnoteReference"/>
          <w:rFonts w:ascii="Calibri" w:eastAsia="Calibri" w:hAnsi="Calibri" w:cs="Calibri"/>
          <w:sz w:val="22"/>
          <w:szCs w:val="22"/>
          <w:lang w:val="en-GB"/>
        </w:rPr>
        <w:footnoteReference w:id="2"/>
      </w:r>
    </w:p>
    <w:p w14:paraId="6673D581" w14:textId="7ECDC48C" w:rsidR="00E27F32" w:rsidRPr="00742586" w:rsidRDefault="005D1849" w:rsidP="003C4E9D">
      <w:pPr>
        <w:spacing w:line="240" w:lineRule="auto"/>
        <w:jc w:val="both"/>
        <w:rPr>
          <w:rFonts w:ascii="Calibri" w:eastAsia="Calibri" w:hAnsi="Calibri" w:cs="Calibri"/>
          <w:b/>
          <w:bCs/>
          <w:sz w:val="22"/>
          <w:szCs w:val="22"/>
          <w:lang w:val="en-GB"/>
        </w:rPr>
      </w:pPr>
      <w:r w:rsidRPr="005D1849">
        <w:rPr>
          <w:rFonts w:ascii="Calibri" w:eastAsia="Calibri" w:hAnsi="Calibri" w:cs="Calibri"/>
          <w:b/>
          <w:bCs/>
          <w:sz w:val="22"/>
          <w:szCs w:val="22"/>
          <w:lang w:val="en-GB"/>
        </w:rPr>
        <w:t>By research data management we mean in particular</w:t>
      </w:r>
      <w:r w:rsidR="00E27F32" w:rsidRPr="00742586">
        <w:rPr>
          <w:rFonts w:ascii="Calibri" w:eastAsia="Calibri" w:hAnsi="Calibri" w:cs="Calibri"/>
          <w:b/>
          <w:bCs/>
          <w:sz w:val="22"/>
          <w:szCs w:val="22"/>
          <w:lang w:val="en-GB"/>
        </w:rPr>
        <w:t>:</w:t>
      </w:r>
    </w:p>
    <w:p w14:paraId="24A863ED" w14:textId="6E6B3D1F" w:rsidR="00DA1129" w:rsidRPr="00742586" w:rsidRDefault="005D1849" w:rsidP="003C4E9D">
      <w:pPr>
        <w:spacing w:line="240" w:lineRule="auto"/>
        <w:jc w:val="both"/>
        <w:rPr>
          <w:rFonts w:ascii="Calibri" w:eastAsia="Calibri" w:hAnsi="Calibri" w:cs="Calibri"/>
          <w:sz w:val="22"/>
          <w:szCs w:val="22"/>
          <w:lang w:val="en-GB"/>
        </w:rPr>
      </w:pPr>
      <w:r w:rsidRPr="005D1849">
        <w:rPr>
          <w:rFonts w:ascii="Calibri" w:eastAsia="Calibri" w:hAnsi="Calibri" w:cs="Calibri"/>
          <w:sz w:val="22"/>
          <w:szCs w:val="22"/>
          <w:lang w:val="en-GB"/>
        </w:rPr>
        <w:t xml:space="preserve">Ensuring that the research data collected or generated during the implementation of the RG are managed responsibly in accordance with the </w:t>
      </w:r>
      <w:r w:rsidRPr="00742586">
        <w:rPr>
          <w:rFonts w:ascii="Calibri" w:eastAsia="Calibri" w:hAnsi="Calibri" w:cs="Calibri"/>
          <w:sz w:val="22"/>
          <w:szCs w:val="22"/>
          <w:lang w:val="en-GB"/>
        </w:rPr>
        <w:t>FAIR</w:t>
      </w:r>
      <w:r w:rsidRPr="00742586">
        <w:rPr>
          <w:rStyle w:val="FootnoteReference"/>
          <w:rFonts w:ascii="Calibri" w:eastAsia="Calibri" w:hAnsi="Calibri" w:cs="Calibri"/>
          <w:sz w:val="22"/>
          <w:szCs w:val="22"/>
          <w:lang w:val="en-GB"/>
        </w:rPr>
        <w:footnoteReference w:id="3"/>
      </w:r>
      <w:r w:rsidRPr="00742586">
        <w:rPr>
          <w:rFonts w:ascii="Calibri" w:eastAsia="Calibri" w:hAnsi="Calibri" w:cs="Calibri"/>
          <w:sz w:val="22"/>
          <w:szCs w:val="22"/>
          <w:lang w:val="en-GB"/>
        </w:rPr>
        <w:t xml:space="preserve"> </w:t>
      </w:r>
      <w:r w:rsidRPr="005D1849">
        <w:rPr>
          <w:rFonts w:ascii="Calibri" w:eastAsia="Calibri" w:hAnsi="Calibri" w:cs="Calibri"/>
          <w:sz w:val="22"/>
          <w:szCs w:val="22"/>
          <w:lang w:val="en-GB"/>
        </w:rPr>
        <w:t xml:space="preserve">principles, </w:t>
      </w:r>
      <w:proofErr w:type="gramStart"/>
      <w:r w:rsidRPr="005D1849">
        <w:rPr>
          <w:rFonts w:ascii="Calibri" w:eastAsia="Calibri" w:hAnsi="Calibri" w:cs="Calibri"/>
          <w:sz w:val="22"/>
          <w:szCs w:val="22"/>
          <w:lang w:val="en-GB"/>
        </w:rPr>
        <w:t xml:space="preserve">in particular </w:t>
      </w:r>
      <w:r>
        <w:rPr>
          <w:rFonts w:ascii="Calibri" w:eastAsia="Calibri" w:hAnsi="Calibri" w:cs="Calibri"/>
          <w:sz w:val="22"/>
          <w:szCs w:val="22"/>
          <w:lang w:val="en-GB"/>
        </w:rPr>
        <w:t>using</w:t>
      </w:r>
      <w:proofErr w:type="gramEnd"/>
      <w:r w:rsidRPr="005D1849">
        <w:rPr>
          <w:rFonts w:ascii="Calibri" w:eastAsia="Calibri" w:hAnsi="Calibri" w:cs="Calibri"/>
          <w:sz w:val="22"/>
          <w:szCs w:val="22"/>
          <w:lang w:val="en-GB"/>
        </w:rPr>
        <w:t xml:space="preserve"> the following means</w:t>
      </w:r>
      <w:r w:rsidR="00DA1129" w:rsidRPr="00742586">
        <w:rPr>
          <w:rFonts w:ascii="Calibri" w:eastAsia="Calibri" w:hAnsi="Calibri" w:cs="Calibri"/>
          <w:sz w:val="22"/>
          <w:szCs w:val="22"/>
          <w:lang w:val="en-GB"/>
        </w:rPr>
        <w:t xml:space="preserve">: </w:t>
      </w:r>
    </w:p>
    <w:p w14:paraId="463F6278" w14:textId="1EAF1832" w:rsidR="00E93F4A" w:rsidRPr="00742586" w:rsidRDefault="005D1849" w:rsidP="003C4E9D">
      <w:pPr>
        <w:pStyle w:val="ListParagraph"/>
        <w:numPr>
          <w:ilvl w:val="0"/>
          <w:numId w:val="2"/>
        </w:numPr>
        <w:spacing w:after="0" w:line="240" w:lineRule="auto"/>
        <w:ind w:left="993" w:hanging="273"/>
        <w:jc w:val="both"/>
        <w:rPr>
          <w:rFonts w:ascii="Calibri" w:eastAsia="Calibri" w:hAnsi="Calibri" w:cs="Calibri"/>
          <w:sz w:val="22"/>
          <w:szCs w:val="22"/>
          <w:lang w:val="en-GB"/>
        </w:rPr>
      </w:pPr>
      <w:r>
        <w:rPr>
          <w:rFonts w:ascii="Calibri" w:eastAsia="Calibri" w:hAnsi="Calibri" w:cs="Calibri"/>
          <w:sz w:val="22"/>
          <w:szCs w:val="22"/>
          <w:lang w:val="en-GB"/>
        </w:rPr>
        <w:lastRenderedPageBreak/>
        <w:t>setting up</w:t>
      </w:r>
      <w:r w:rsidRPr="005D1849">
        <w:rPr>
          <w:rFonts w:ascii="Calibri" w:eastAsia="Calibri" w:hAnsi="Calibri" w:cs="Calibri"/>
          <w:sz w:val="22"/>
          <w:szCs w:val="22"/>
          <w:lang w:val="en-GB"/>
        </w:rPr>
        <w:t xml:space="preserve"> a Data Management Plan in accordance with the FAIR principles and updating it regularly. The principal investigator of the RG shall submit the Data Management Plan for </w:t>
      </w:r>
      <w:r>
        <w:rPr>
          <w:rFonts w:ascii="Calibri" w:eastAsia="Calibri" w:hAnsi="Calibri" w:cs="Calibri"/>
          <w:sz w:val="22"/>
          <w:szCs w:val="22"/>
          <w:lang w:val="en-GB"/>
        </w:rPr>
        <w:t>review</w:t>
      </w:r>
      <w:r w:rsidRPr="005D1849">
        <w:rPr>
          <w:rFonts w:ascii="Calibri" w:eastAsia="Calibri" w:hAnsi="Calibri" w:cs="Calibri"/>
          <w:sz w:val="22"/>
          <w:szCs w:val="22"/>
          <w:lang w:val="en-GB"/>
        </w:rPr>
        <w:t xml:space="preserve">, initially six months after the start of the RG </w:t>
      </w:r>
      <w:r w:rsidR="00E13FE1" w:rsidRPr="00E13FE1">
        <w:rPr>
          <w:rFonts w:ascii="Calibri" w:eastAsia="Calibri" w:hAnsi="Calibri" w:cs="Calibri"/>
          <w:sz w:val="22"/>
          <w:szCs w:val="22"/>
          <w:lang w:val="en-GB"/>
        </w:rPr>
        <w:t>imple</w:t>
      </w:r>
      <w:r w:rsidR="00E13FE1">
        <w:rPr>
          <w:rFonts w:ascii="Calibri" w:eastAsia="Calibri" w:hAnsi="Calibri" w:cs="Calibri"/>
          <w:sz w:val="22"/>
          <w:szCs w:val="22"/>
          <w:lang w:val="en-GB"/>
        </w:rPr>
        <w:t>me</w:t>
      </w:r>
      <w:r w:rsidR="00E13FE1" w:rsidRPr="00E13FE1">
        <w:rPr>
          <w:rFonts w:ascii="Calibri" w:eastAsia="Calibri" w:hAnsi="Calibri" w:cs="Calibri"/>
          <w:sz w:val="22"/>
          <w:szCs w:val="22"/>
          <w:lang w:val="en-GB"/>
        </w:rPr>
        <w:t>ntation</w:t>
      </w:r>
      <w:r w:rsidRPr="00E13FE1">
        <w:rPr>
          <w:rFonts w:ascii="Calibri" w:eastAsia="Calibri" w:hAnsi="Calibri" w:cs="Calibri"/>
          <w:sz w:val="22"/>
          <w:szCs w:val="22"/>
          <w:lang w:val="en-GB"/>
        </w:rPr>
        <w:t xml:space="preserve"> phase</w:t>
      </w:r>
      <w:r w:rsidRPr="005D1849">
        <w:rPr>
          <w:rFonts w:ascii="Calibri" w:eastAsia="Calibri" w:hAnsi="Calibri" w:cs="Calibri"/>
          <w:sz w:val="22"/>
          <w:szCs w:val="22"/>
          <w:lang w:val="en-GB"/>
        </w:rPr>
        <w:t xml:space="preserve"> together with the first Activity</w:t>
      </w:r>
      <w:r w:rsidR="007A611A">
        <w:rPr>
          <w:rFonts w:ascii="Calibri" w:eastAsia="Calibri" w:hAnsi="Calibri" w:cs="Calibri"/>
          <w:sz w:val="22"/>
          <w:szCs w:val="22"/>
          <w:lang w:val="en-GB"/>
        </w:rPr>
        <w:t xml:space="preserve"> Progress</w:t>
      </w:r>
      <w:r w:rsidRPr="005D1849">
        <w:rPr>
          <w:rFonts w:ascii="Calibri" w:eastAsia="Calibri" w:hAnsi="Calibri" w:cs="Calibri"/>
          <w:sz w:val="22"/>
          <w:szCs w:val="22"/>
          <w:lang w:val="en-GB"/>
        </w:rPr>
        <w:t xml:space="preserve"> Report, and shall subsequently update and submit it as </w:t>
      </w:r>
      <w:proofErr w:type="gramStart"/>
      <w:r w:rsidRPr="005D1849">
        <w:rPr>
          <w:rFonts w:ascii="Calibri" w:eastAsia="Calibri" w:hAnsi="Calibri" w:cs="Calibri"/>
          <w:sz w:val="22"/>
          <w:szCs w:val="22"/>
          <w:lang w:val="en-GB"/>
        </w:rPr>
        <w:t>necessary</w:t>
      </w:r>
      <w:r w:rsidR="00DA1129" w:rsidRPr="00742586">
        <w:rPr>
          <w:rFonts w:ascii="Calibri" w:eastAsia="Calibri" w:hAnsi="Calibri" w:cs="Calibri"/>
          <w:sz w:val="22"/>
          <w:szCs w:val="22"/>
          <w:lang w:val="en-GB"/>
        </w:rPr>
        <w:t>;</w:t>
      </w:r>
      <w:proofErr w:type="gramEnd"/>
    </w:p>
    <w:p w14:paraId="083A62B5" w14:textId="680DCD1E" w:rsidR="003A5F24" w:rsidRPr="00742586" w:rsidRDefault="00D07DC5" w:rsidP="003C4E9D">
      <w:pPr>
        <w:pStyle w:val="ListParagraph"/>
        <w:numPr>
          <w:ilvl w:val="0"/>
          <w:numId w:val="2"/>
        </w:numPr>
        <w:spacing w:after="0" w:line="240" w:lineRule="auto"/>
        <w:ind w:left="993" w:hanging="273"/>
        <w:jc w:val="both"/>
        <w:rPr>
          <w:rFonts w:ascii="Calibri" w:eastAsia="Calibri" w:hAnsi="Calibri" w:cs="Calibri"/>
          <w:sz w:val="22"/>
          <w:szCs w:val="22"/>
          <w:lang w:val="en-GB"/>
        </w:rPr>
      </w:pPr>
      <w:r w:rsidRPr="00D07DC5">
        <w:rPr>
          <w:rFonts w:ascii="Calibri" w:eastAsia="Calibri" w:hAnsi="Calibri" w:cs="Calibri"/>
          <w:sz w:val="22"/>
          <w:szCs w:val="22"/>
          <w:lang w:val="en-GB"/>
        </w:rPr>
        <w:t>depositing the research data in a trusted repository</w:t>
      </w:r>
      <w:r w:rsidR="007C7C71">
        <w:rPr>
          <w:rStyle w:val="FootnoteReference"/>
          <w:rFonts w:ascii="Calibri" w:eastAsia="Calibri" w:hAnsi="Calibri" w:cs="Calibri"/>
          <w:sz w:val="22"/>
          <w:szCs w:val="22"/>
        </w:rPr>
        <w:footnoteReference w:id="4"/>
      </w:r>
      <w:r w:rsidRPr="00D07DC5">
        <w:rPr>
          <w:rFonts w:ascii="Calibri" w:eastAsia="Calibri" w:hAnsi="Calibri" w:cs="Calibri"/>
          <w:sz w:val="22"/>
          <w:szCs w:val="22"/>
          <w:lang w:val="en-GB"/>
        </w:rPr>
        <w:t xml:space="preserve"> as early as possible, in accordance with the Data Management Plan. The deposition concerns, in particular, the underlying data associated with a peer</w:t>
      </w:r>
      <w:r w:rsidRPr="00D07DC5">
        <w:rPr>
          <w:rFonts w:ascii="Cambria Math" w:eastAsia="Calibri" w:hAnsi="Cambria Math" w:cs="Cambria Math"/>
          <w:sz w:val="22"/>
          <w:szCs w:val="22"/>
          <w:lang w:val="en-GB"/>
        </w:rPr>
        <w:t>‑</w:t>
      </w:r>
      <w:r w:rsidRPr="00D07DC5">
        <w:rPr>
          <w:rFonts w:ascii="Calibri" w:eastAsia="Calibri" w:hAnsi="Calibri" w:cs="Calibri"/>
          <w:sz w:val="22"/>
          <w:szCs w:val="22"/>
          <w:lang w:val="en-GB"/>
        </w:rPr>
        <w:t xml:space="preserve">reviewed publication that are necessary to verify the </w:t>
      </w:r>
      <w:r w:rsidR="002A5193">
        <w:rPr>
          <w:rFonts w:ascii="Calibri" w:eastAsia="Calibri" w:hAnsi="Calibri" w:cs="Calibri"/>
          <w:sz w:val="22"/>
          <w:szCs w:val="22"/>
          <w:lang w:val="en-GB"/>
        </w:rPr>
        <w:t>outcomes</w:t>
      </w:r>
      <w:r w:rsidRPr="00D07DC5">
        <w:rPr>
          <w:rFonts w:ascii="Calibri" w:eastAsia="Calibri" w:hAnsi="Calibri" w:cs="Calibri"/>
          <w:sz w:val="22"/>
          <w:szCs w:val="22"/>
          <w:lang w:val="en-GB"/>
        </w:rPr>
        <w:t xml:space="preserve"> presented in the publication or any other data associated with </w:t>
      </w:r>
      <w:r>
        <w:rPr>
          <w:rFonts w:ascii="Calibri" w:eastAsia="Calibri" w:hAnsi="Calibri" w:cs="Calibri"/>
          <w:sz w:val="22"/>
          <w:szCs w:val="22"/>
          <w:lang w:val="en-GB"/>
        </w:rPr>
        <w:t>non-standard</w:t>
      </w:r>
      <w:r w:rsidRPr="00D07DC5">
        <w:rPr>
          <w:rFonts w:ascii="Calibri" w:eastAsia="Calibri" w:hAnsi="Calibri" w:cs="Calibri"/>
          <w:sz w:val="22"/>
          <w:szCs w:val="22"/>
          <w:lang w:val="en-GB"/>
        </w:rPr>
        <w:t xml:space="preserve"> research outputs or data that are not linked to any specific research output but may be usable beyond the project. This means that the deposition of “all data” collected or generated within the project is not required. Whether raw or processed data are deposited depends on </w:t>
      </w:r>
      <w:r>
        <w:rPr>
          <w:rFonts w:ascii="Calibri" w:eastAsia="Calibri" w:hAnsi="Calibri" w:cs="Calibri"/>
          <w:sz w:val="22"/>
          <w:szCs w:val="22"/>
          <w:lang w:val="en-GB"/>
        </w:rPr>
        <w:t xml:space="preserve">the </w:t>
      </w:r>
      <w:r w:rsidRPr="00D07DC5">
        <w:rPr>
          <w:rFonts w:ascii="Calibri" w:eastAsia="Calibri" w:hAnsi="Calibri" w:cs="Calibri"/>
          <w:sz w:val="22"/>
          <w:szCs w:val="22"/>
          <w:lang w:val="en-GB"/>
        </w:rPr>
        <w:t>conventions</w:t>
      </w:r>
      <w:r>
        <w:rPr>
          <w:rFonts w:ascii="Calibri" w:eastAsia="Calibri" w:hAnsi="Calibri" w:cs="Calibri"/>
          <w:sz w:val="22"/>
          <w:szCs w:val="22"/>
          <w:lang w:val="en-GB"/>
        </w:rPr>
        <w:t xml:space="preserve"> in the field</w:t>
      </w:r>
      <w:r w:rsidRPr="00D07DC5">
        <w:rPr>
          <w:rFonts w:ascii="Calibri" w:eastAsia="Calibri" w:hAnsi="Calibri" w:cs="Calibri"/>
          <w:sz w:val="22"/>
          <w:szCs w:val="22"/>
          <w:lang w:val="en-GB"/>
        </w:rPr>
        <w:t xml:space="preserve">, context and the nature of the data collected or </w:t>
      </w:r>
      <w:proofErr w:type="gramStart"/>
      <w:r w:rsidRPr="00D07DC5">
        <w:rPr>
          <w:rFonts w:ascii="Calibri" w:eastAsia="Calibri" w:hAnsi="Calibri" w:cs="Calibri"/>
          <w:sz w:val="22"/>
          <w:szCs w:val="22"/>
          <w:lang w:val="en-GB"/>
        </w:rPr>
        <w:t>generated</w:t>
      </w:r>
      <w:r w:rsidR="00C97566" w:rsidRPr="00742586">
        <w:rPr>
          <w:rFonts w:ascii="Calibri" w:eastAsia="Calibri" w:hAnsi="Calibri" w:cs="Calibri"/>
          <w:sz w:val="22"/>
          <w:szCs w:val="22"/>
          <w:lang w:val="en-GB"/>
        </w:rPr>
        <w:t>;</w:t>
      </w:r>
      <w:proofErr w:type="gramEnd"/>
    </w:p>
    <w:p w14:paraId="705CA297" w14:textId="3601CAD1" w:rsidR="0004375F" w:rsidRPr="00742586" w:rsidRDefault="00D07DC5" w:rsidP="003C4E9D">
      <w:pPr>
        <w:pStyle w:val="ListParagraph"/>
        <w:numPr>
          <w:ilvl w:val="0"/>
          <w:numId w:val="2"/>
        </w:numPr>
        <w:spacing w:after="0" w:line="240" w:lineRule="auto"/>
        <w:ind w:left="993" w:hanging="273"/>
        <w:jc w:val="both"/>
        <w:rPr>
          <w:rFonts w:ascii="Calibri" w:eastAsia="Calibri" w:hAnsi="Calibri" w:cs="Calibri"/>
          <w:sz w:val="22"/>
          <w:szCs w:val="22"/>
          <w:lang w:val="en-GB"/>
        </w:rPr>
      </w:pPr>
      <w:r w:rsidRPr="00D07DC5">
        <w:rPr>
          <w:rFonts w:ascii="Calibri" w:eastAsia="Calibri" w:hAnsi="Calibri" w:cs="Calibri"/>
          <w:sz w:val="22"/>
          <w:szCs w:val="22"/>
          <w:lang w:val="en-GB"/>
        </w:rPr>
        <w:t xml:space="preserve">ensuring open access to the research data deposited in the repository, in accordance with the Data Management Plan, preferably under the terms of the latest available version of the Creative Commons Attribution International (CC BY 4.0) public licence or </w:t>
      </w:r>
      <w:proofErr w:type="gramStart"/>
      <w:r w:rsidRPr="00D07DC5">
        <w:rPr>
          <w:rFonts w:ascii="Calibri" w:eastAsia="Calibri" w:hAnsi="Calibri" w:cs="Calibri"/>
          <w:sz w:val="22"/>
          <w:szCs w:val="22"/>
          <w:lang w:val="en-GB"/>
        </w:rPr>
        <w:t>its</w:t>
      </w:r>
      <w:proofErr w:type="gramEnd"/>
      <w:r w:rsidRPr="00D07DC5">
        <w:rPr>
          <w:rFonts w:ascii="Calibri" w:eastAsia="Calibri" w:hAnsi="Calibri" w:cs="Calibri"/>
          <w:sz w:val="22"/>
          <w:szCs w:val="22"/>
          <w:lang w:val="en-GB"/>
        </w:rPr>
        <w:t xml:space="preserve"> equivalent where needed. Open access to data follows the principle “as open as possible, as closed as necessary”, </w:t>
      </w:r>
      <w:proofErr w:type="gramStart"/>
      <w:r w:rsidRPr="00D07DC5">
        <w:rPr>
          <w:rFonts w:ascii="Calibri" w:eastAsia="Calibri" w:hAnsi="Calibri" w:cs="Calibri"/>
          <w:sz w:val="22"/>
          <w:szCs w:val="22"/>
          <w:lang w:val="en-GB"/>
        </w:rPr>
        <w:t>with regard to</w:t>
      </w:r>
      <w:proofErr w:type="gramEnd"/>
      <w:r w:rsidRPr="00D07DC5">
        <w:rPr>
          <w:rFonts w:ascii="Calibri" w:eastAsia="Calibri" w:hAnsi="Calibri" w:cs="Calibri"/>
          <w:sz w:val="22"/>
          <w:szCs w:val="22"/>
          <w:lang w:val="en-GB"/>
        </w:rPr>
        <w:t xml:space="preserve"> privacy, personal</w:t>
      </w:r>
      <w:r w:rsidRPr="00D07DC5">
        <w:rPr>
          <w:rFonts w:ascii="Cambria Math" w:eastAsia="Calibri" w:hAnsi="Cambria Math" w:cs="Cambria Math"/>
          <w:sz w:val="22"/>
          <w:szCs w:val="22"/>
          <w:lang w:val="en-GB"/>
        </w:rPr>
        <w:t>‑</w:t>
      </w:r>
      <w:r w:rsidRPr="00D07DC5">
        <w:rPr>
          <w:rFonts w:ascii="Calibri" w:eastAsia="Calibri" w:hAnsi="Calibri" w:cs="Calibri"/>
          <w:sz w:val="22"/>
          <w:szCs w:val="22"/>
          <w:lang w:val="en-GB"/>
        </w:rPr>
        <w:t>data protection, confidentiality, legitimate commercial interests and third</w:t>
      </w:r>
      <w:r w:rsidRPr="00D07DC5">
        <w:rPr>
          <w:rFonts w:ascii="Cambria Math" w:eastAsia="Calibri" w:hAnsi="Cambria Math" w:cs="Cambria Math"/>
          <w:sz w:val="22"/>
          <w:szCs w:val="22"/>
          <w:lang w:val="en-GB"/>
        </w:rPr>
        <w:t>‑</w:t>
      </w:r>
      <w:r w:rsidRPr="00D07DC5">
        <w:rPr>
          <w:rFonts w:ascii="Calibri" w:eastAsia="Calibri" w:hAnsi="Calibri" w:cs="Calibri"/>
          <w:sz w:val="22"/>
          <w:szCs w:val="22"/>
          <w:lang w:val="en-GB"/>
        </w:rPr>
        <w:t>party intellectual</w:t>
      </w:r>
      <w:r w:rsidRPr="00D07DC5">
        <w:rPr>
          <w:rFonts w:ascii="Cambria Math" w:eastAsia="Calibri" w:hAnsi="Cambria Math" w:cs="Cambria Math"/>
          <w:sz w:val="22"/>
          <w:szCs w:val="22"/>
          <w:lang w:val="en-GB"/>
        </w:rPr>
        <w:t>‑</w:t>
      </w:r>
      <w:r w:rsidRPr="00D07DC5">
        <w:rPr>
          <w:rFonts w:ascii="Calibri" w:eastAsia="Calibri" w:hAnsi="Calibri" w:cs="Calibri"/>
          <w:sz w:val="22"/>
          <w:szCs w:val="22"/>
          <w:lang w:val="en-GB"/>
        </w:rPr>
        <w:t xml:space="preserve">property rights, national security or other legitimate interests and justified limitations. If open access is not provided (to some or all data), this must be justified in the Data Management </w:t>
      </w:r>
      <w:proofErr w:type="gramStart"/>
      <w:r w:rsidRPr="00D07DC5">
        <w:rPr>
          <w:rFonts w:ascii="Calibri" w:eastAsia="Calibri" w:hAnsi="Calibri" w:cs="Calibri"/>
          <w:sz w:val="22"/>
          <w:szCs w:val="22"/>
          <w:lang w:val="en-GB"/>
        </w:rPr>
        <w:t>Plan</w:t>
      </w:r>
      <w:proofErr w:type="gramEnd"/>
      <w:r w:rsidRPr="00D07DC5">
        <w:rPr>
          <w:rFonts w:ascii="Calibri" w:eastAsia="Calibri" w:hAnsi="Calibri" w:cs="Calibri"/>
          <w:sz w:val="22"/>
          <w:szCs w:val="22"/>
          <w:lang w:val="en-GB"/>
        </w:rPr>
        <w:t xml:space="preserve"> and this justification must be regularly </w:t>
      </w:r>
      <w:proofErr w:type="gramStart"/>
      <w:r w:rsidRPr="00D07DC5">
        <w:rPr>
          <w:rFonts w:ascii="Calibri" w:eastAsia="Calibri" w:hAnsi="Calibri" w:cs="Calibri"/>
          <w:sz w:val="22"/>
          <w:szCs w:val="22"/>
          <w:lang w:val="en-GB"/>
        </w:rPr>
        <w:t>reviewed</w:t>
      </w:r>
      <w:r w:rsidR="00DA1129" w:rsidRPr="00742586">
        <w:rPr>
          <w:rFonts w:ascii="Calibri" w:eastAsia="Calibri" w:hAnsi="Calibri" w:cs="Calibri"/>
          <w:sz w:val="22"/>
          <w:szCs w:val="22"/>
          <w:lang w:val="en-GB"/>
        </w:rPr>
        <w:t>;</w:t>
      </w:r>
      <w:proofErr w:type="gramEnd"/>
      <w:r w:rsidR="00DA1129" w:rsidRPr="00742586">
        <w:rPr>
          <w:rFonts w:ascii="Calibri" w:eastAsia="Calibri" w:hAnsi="Calibri" w:cs="Calibri"/>
          <w:sz w:val="22"/>
          <w:szCs w:val="22"/>
          <w:lang w:val="en-GB"/>
        </w:rPr>
        <w:t xml:space="preserve"> </w:t>
      </w:r>
    </w:p>
    <w:p w14:paraId="5A8F26FB" w14:textId="230AF686" w:rsidR="00F21DDC" w:rsidRPr="00742586" w:rsidRDefault="00D07DC5" w:rsidP="003C4E9D">
      <w:pPr>
        <w:pStyle w:val="ListParagraph"/>
        <w:numPr>
          <w:ilvl w:val="0"/>
          <w:numId w:val="2"/>
        </w:numPr>
        <w:spacing w:after="0" w:line="240" w:lineRule="auto"/>
        <w:ind w:left="993" w:hanging="273"/>
        <w:jc w:val="both"/>
        <w:rPr>
          <w:rFonts w:ascii="Calibri" w:eastAsia="Calibri" w:hAnsi="Calibri" w:cs="Calibri"/>
          <w:sz w:val="22"/>
          <w:szCs w:val="22"/>
          <w:lang w:val="en-GB"/>
        </w:rPr>
      </w:pPr>
      <w:r w:rsidRPr="00D07DC5">
        <w:rPr>
          <w:rFonts w:ascii="Calibri" w:eastAsia="Calibri" w:hAnsi="Calibri" w:cs="Calibri"/>
          <w:sz w:val="22"/>
          <w:szCs w:val="22"/>
          <w:lang w:val="en-GB"/>
        </w:rPr>
        <w:t>providing information (a reference) on any other research output, tools or instruments required for the re</w:t>
      </w:r>
      <w:r w:rsidRPr="00D07DC5">
        <w:rPr>
          <w:rFonts w:ascii="Cambria Math" w:eastAsia="Calibri" w:hAnsi="Cambria Math" w:cs="Cambria Math"/>
          <w:sz w:val="22"/>
          <w:szCs w:val="22"/>
          <w:lang w:val="en-GB"/>
        </w:rPr>
        <w:t>‑</w:t>
      </w:r>
      <w:r w:rsidRPr="00D07DC5">
        <w:rPr>
          <w:rFonts w:ascii="Calibri" w:eastAsia="Calibri" w:hAnsi="Calibri" w:cs="Calibri"/>
          <w:sz w:val="22"/>
          <w:szCs w:val="22"/>
          <w:lang w:val="en-GB"/>
        </w:rPr>
        <w:t xml:space="preserve">use or validation of the research data as part of the record (metadata) of the research data in the trusted repository (unless </w:t>
      </w:r>
      <w:r w:rsidR="004B0E62">
        <w:rPr>
          <w:rFonts w:ascii="Calibri" w:eastAsia="Calibri" w:hAnsi="Calibri" w:cs="Calibri"/>
          <w:sz w:val="22"/>
          <w:szCs w:val="22"/>
          <w:lang w:val="en-GB"/>
        </w:rPr>
        <w:t xml:space="preserve">there are </w:t>
      </w:r>
      <w:r w:rsidRPr="00D07DC5">
        <w:rPr>
          <w:rFonts w:ascii="Calibri" w:eastAsia="Calibri" w:hAnsi="Calibri" w:cs="Calibri"/>
          <w:sz w:val="22"/>
          <w:szCs w:val="22"/>
          <w:lang w:val="en-GB"/>
        </w:rPr>
        <w:t>justified reasons for limiting such information</w:t>
      </w:r>
      <w:r w:rsidR="00DA1129" w:rsidRPr="00742586">
        <w:rPr>
          <w:rFonts w:ascii="Calibri" w:eastAsia="Calibri" w:hAnsi="Calibri" w:cs="Calibri"/>
          <w:sz w:val="22"/>
          <w:szCs w:val="22"/>
          <w:lang w:val="en-GB"/>
        </w:rPr>
        <w:t xml:space="preserve">). </w:t>
      </w:r>
    </w:p>
    <w:p w14:paraId="6058D584" w14:textId="77777777" w:rsidR="001D58CE" w:rsidRPr="00742586" w:rsidRDefault="001D58CE" w:rsidP="003C4E9D">
      <w:pPr>
        <w:spacing w:after="0" w:line="240" w:lineRule="auto"/>
        <w:ind w:left="720"/>
        <w:jc w:val="both"/>
        <w:rPr>
          <w:rFonts w:ascii="Calibri" w:eastAsia="Calibri" w:hAnsi="Calibri" w:cs="Calibri"/>
          <w:sz w:val="22"/>
          <w:szCs w:val="22"/>
          <w:lang w:val="en-GB"/>
        </w:rPr>
      </w:pPr>
    </w:p>
    <w:p w14:paraId="30B3460E" w14:textId="43903CC1" w:rsidR="00DA1129" w:rsidRPr="00742586" w:rsidRDefault="004B0E62" w:rsidP="003C4E9D">
      <w:pPr>
        <w:spacing w:line="240" w:lineRule="auto"/>
        <w:jc w:val="both"/>
        <w:rPr>
          <w:rFonts w:ascii="Calibri" w:eastAsia="Calibri" w:hAnsi="Calibri" w:cs="Calibri"/>
          <w:sz w:val="22"/>
          <w:szCs w:val="22"/>
          <w:lang w:val="en-GB"/>
        </w:rPr>
      </w:pPr>
      <w:r w:rsidRPr="004B0E62">
        <w:rPr>
          <w:rFonts w:ascii="Calibri" w:eastAsia="Calibri" w:hAnsi="Calibri" w:cs="Calibri"/>
          <w:sz w:val="22"/>
          <w:szCs w:val="22"/>
          <w:lang w:val="en-GB"/>
        </w:rPr>
        <w:t xml:space="preserve">The metadata of </w:t>
      </w:r>
      <w:r>
        <w:rPr>
          <w:rFonts w:ascii="Calibri" w:eastAsia="Calibri" w:hAnsi="Calibri" w:cs="Calibri"/>
          <w:sz w:val="22"/>
          <w:szCs w:val="22"/>
          <w:lang w:val="en-GB"/>
        </w:rPr>
        <w:t xml:space="preserve">the </w:t>
      </w:r>
      <w:r w:rsidRPr="004B0E62">
        <w:rPr>
          <w:rFonts w:ascii="Calibri" w:eastAsia="Calibri" w:hAnsi="Calibri" w:cs="Calibri"/>
          <w:sz w:val="22"/>
          <w:szCs w:val="22"/>
          <w:lang w:val="en-GB"/>
        </w:rPr>
        <w:t>research data in the repository must be publicly accessible (to the extent compatible with the protection of legitimate interests or limitations) and machine</w:t>
      </w:r>
      <w:r w:rsidRPr="004B0E62">
        <w:rPr>
          <w:rFonts w:ascii="Cambria Math" w:eastAsia="Calibri" w:hAnsi="Cambria Math" w:cs="Cambria Math"/>
          <w:sz w:val="22"/>
          <w:szCs w:val="22"/>
          <w:lang w:val="en-GB"/>
        </w:rPr>
        <w:t>‑</w:t>
      </w:r>
      <w:r w:rsidRPr="004B0E62">
        <w:rPr>
          <w:rFonts w:ascii="Calibri" w:eastAsia="Calibri" w:hAnsi="Calibri" w:cs="Calibri"/>
          <w:sz w:val="22"/>
          <w:szCs w:val="22"/>
          <w:lang w:val="en-GB"/>
        </w:rPr>
        <w:t xml:space="preserve">readable in accordance with the FAIR </w:t>
      </w:r>
      <w:proofErr w:type="gramStart"/>
      <w:r w:rsidRPr="004B0E62">
        <w:rPr>
          <w:rFonts w:ascii="Calibri" w:eastAsia="Calibri" w:hAnsi="Calibri" w:cs="Calibri"/>
          <w:sz w:val="22"/>
          <w:szCs w:val="22"/>
          <w:lang w:val="en-GB"/>
        </w:rPr>
        <w:t>principles</w:t>
      </w:r>
      <w:r>
        <w:rPr>
          <w:rFonts w:ascii="Calibri" w:eastAsia="Calibri" w:hAnsi="Calibri" w:cs="Calibri"/>
          <w:sz w:val="22"/>
          <w:szCs w:val="22"/>
          <w:lang w:val="en-GB"/>
        </w:rPr>
        <w:t>,</w:t>
      </w:r>
      <w:r w:rsidRPr="004B0E62">
        <w:rPr>
          <w:rFonts w:ascii="Calibri" w:eastAsia="Calibri" w:hAnsi="Calibri" w:cs="Calibri"/>
          <w:sz w:val="22"/>
          <w:szCs w:val="22"/>
          <w:lang w:val="en-GB"/>
        </w:rPr>
        <w:t xml:space="preserve"> and</w:t>
      </w:r>
      <w:proofErr w:type="gramEnd"/>
      <w:r w:rsidRPr="004B0E62">
        <w:rPr>
          <w:rFonts w:ascii="Calibri" w:eastAsia="Calibri" w:hAnsi="Calibri" w:cs="Calibri"/>
          <w:sz w:val="22"/>
          <w:szCs w:val="22"/>
          <w:lang w:val="en-GB"/>
        </w:rPr>
        <w:t xml:space="preserve"> must comply with the </w:t>
      </w:r>
      <w:r w:rsidRPr="006B489A">
        <w:rPr>
          <w:rFonts w:ascii="Calibri" w:eastAsia="Calibri" w:hAnsi="Calibri" w:cs="Calibri"/>
          <w:sz w:val="22"/>
          <w:szCs w:val="22"/>
          <w:lang w:val="en-GB"/>
        </w:rPr>
        <w:t xml:space="preserve">General Recommendation </w:t>
      </w:r>
      <w:r>
        <w:rPr>
          <w:rFonts w:ascii="Calibri" w:eastAsia="Calibri" w:hAnsi="Calibri" w:cs="Calibri"/>
          <w:sz w:val="22"/>
          <w:szCs w:val="22"/>
          <w:lang w:val="en-GB"/>
        </w:rPr>
        <w:t xml:space="preserve">for </w:t>
      </w:r>
      <w:r w:rsidRPr="00742586">
        <w:rPr>
          <w:rFonts w:ascii="Calibri" w:eastAsia="Calibri" w:hAnsi="Calibri" w:cs="Calibri"/>
          <w:sz w:val="22"/>
          <w:szCs w:val="22"/>
          <w:lang w:val="en-GB"/>
        </w:rPr>
        <w:t xml:space="preserve">Metadata </w:t>
      </w:r>
      <w:r>
        <w:rPr>
          <w:rFonts w:ascii="Calibri" w:eastAsia="Calibri" w:hAnsi="Calibri" w:cs="Calibri"/>
          <w:sz w:val="22"/>
          <w:szCs w:val="22"/>
          <w:lang w:val="en-GB"/>
        </w:rPr>
        <w:t>Descriptions</w:t>
      </w:r>
      <w:r w:rsidR="00CE78DA" w:rsidRPr="00742586">
        <w:rPr>
          <w:rStyle w:val="FootnoteReference"/>
          <w:rFonts w:ascii="Calibri" w:eastAsia="Calibri" w:hAnsi="Calibri" w:cs="Calibri"/>
          <w:sz w:val="22"/>
          <w:szCs w:val="22"/>
          <w:lang w:val="en-GB"/>
        </w:rPr>
        <w:footnoteReference w:id="5"/>
      </w:r>
      <w:r w:rsidR="00104AB1" w:rsidRPr="00742586">
        <w:rPr>
          <w:rFonts w:ascii="Calibri" w:eastAsia="Calibri" w:hAnsi="Calibri" w:cs="Calibri"/>
          <w:sz w:val="22"/>
          <w:szCs w:val="22"/>
          <w:lang w:val="en-GB"/>
        </w:rPr>
        <w:t>.</w:t>
      </w:r>
    </w:p>
    <w:p w14:paraId="2EC213E8" w14:textId="54F54719" w:rsidR="001E19F6" w:rsidRPr="00742586" w:rsidRDefault="004B0E62" w:rsidP="003C4E9D">
      <w:pPr>
        <w:spacing w:line="240" w:lineRule="auto"/>
        <w:jc w:val="both"/>
        <w:rPr>
          <w:rFonts w:ascii="Calibri" w:eastAsia="Calibri" w:hAnsi="Calibri" w:cs="Calibri"/>
          <w:sz w:val="22"/>
          <w:szCs w:val="22"/>
          <w:lang w:val="en-GB"/>
        </w:rPr>
      </w:pPr>
      <w:r>
        <w:rPr>
          <w:rFonts w:ascii="Calibri" w:eastAsia="Calibri" w:hAnsi="Calibri" w:cs="Calibri"/>
          <w:sz w:val="22"/>
          <w:szCs w:val="22"/>
          <w:lang w:val="en-GB"/>
        </w:rPr>
        <w:t>F</w:t>
      </w:r>
      <w:r w:rsidRPr="004B0E62">
        <w:rPr>
          <w:rFonts w:ascii="Calibri" w:eastAsia="Calibri" w:hAnsi="Calibri" w:cs="Calibri"/>
          <w:sz w:val="22"/>
          <w:szCs w:val="22"/>
          <w:lang w:val="en-GB"/>
        </w:rPr>
        <w:t xml:space="preserve">or the purposes of the </w:t>
      </w:r>
      <w:r>
        <w:rPr>
          <w:rFonts w:ascii="Calibri" w:eastAsia="Calibri" w:hAnsi="Calibri" w:cs="Calibri"/>
          <w:sz w:val="22"/>
          <w:szCs w:val="22"/>
          <w:lang w:val="en-GB"/>
        </w:rPr>
        <w:t>SNG</w:t>
      </w:r>
      <w:r w:rsidRPr="004B0E62">
        <w:rPr>
          <w:rFonts w:ascii="Calibri" w:eastAsia="Calibri" w:hAnsi="Calibri" w:cs="Calibri"/>
          <w:sz w:val="22"/>
          <w:szCs w:val="22"/>
          <w:lang w:val="en-GB"/>
        </w:rPr>
        <w:t xml:space="preserve">, the Handbook of Open Science Procedures under the OP JAK </w:t>
      </w:r>
      <w:r>
        <w:rPr>
          <w:rFonts w:ascii="Calibri" w:eastAsia="Calibri" w:hAnsi="Calibri" w:cs="Calibri"/>
          <w:sz w:val="22"/>
          <w:szCs w:val="22"/>
          <w:lang w:val="en-GB"/>
        </w:rPr>
        <w:t>works</w:t>
      </w:r>
      <w:r w:rsidRPr="004B0E62">
        <w:rPr>
          <w:rFonts w:ascii="Calibri" w:eastAsia="Calibri" w:hAnsi="Calibri" w:cs="Calibri"/>
          <w:sz w:val="22"/>
          <w:szCs w:val="22"/>
          <w:lang w:val="en-GB"/>
        </w:rPr>
        <w:t xml:space="preserve"> </w:t>
      </w:r>
      <w:r>
        <w:rPr>
          <w:rFonts w:ascii="Calibri" w:eastAsia="Calibri" w:hAnsi="Calibri" w:cs="Calibri"/>
          <w:sz w:val="22"/>
          <w:szCs w:val="22"/>
          <w:lang w:val="en-GB"/>
        </w:rPr>
        <w:t>a</w:t>
      </w:r>
      <w:r w:rsidRPr="004B0E62">
        <w:rPr>
          <w:rFonts w:ascii="Calibri" w:eastAsia="Calibri" w:hAnsi="Calibri" w:cs="Calibri"/>
          <w:sz w:val="22"/>
          <w:szCs w:val="22"/>
          <w:lang w:val="en-GB"/>
        </w:rPr>
        <w:t xml:space="preserve">s an </w:t>
      </w:r>
      <w:r>
        <w:rPr>
          <w:rFonts w:ascii="Calibri" w:eastAsia="Calibri" w:hAnsi="Calibri" w:cs="Calibri"/>
          <w:sz w:val="22"/>
          <w:szCs w:val="22"/>
          <w:lang w:val="en-GB"/>
        </w:rPr>
        <w:t>extensive</w:t>
      </w:r>
      <w:r w:rsidRPr="004B0E62">
        <w:rPr>
          <w:rFonts w:ascii="Calibri" w:eastAsia="Calibri" w:hAnsi="Calibri" w:cs="Calibri"/>
          <w:sz w:val="22"/>
          <w:szCs w:val="22"/>
          <w:lang w:val="en-GB"/>
        </w:rPr>
        <w:t xml:space="preserve"> interpretation of Open Science procedures</w:t>
      </w:r>
      <w:r>
        <w:rPr>
          <w:rFonts w:ascii="Calibri" w:eastAsia="Calibri" w:hAnsi="Calibri" w:cs="Calibri"/>
          <w:sz w:val="22"/>
          <w:szCs w:val="22"/>
          <w:lang w:val="en-GB"/>
        </w:rPr>
        <w:t>.</w:t>
      </w:r>
      <w:r w:rsidR="007A1F6D" w:rsidRPr="00742586">
        <w:rPr>
          <w:rStyle w:val="FootnoteReference"/>
          <w:rFonts w:ascii="Calibri" w:eastAsia="Calibri" w:hAnsi="Calibri" w:cs="Calibri"/>
          <w:sz w:val="22"/>
          <w:szCs w:val="22"/>
          <w:lang w:val="en-GB"/>
        </w:rPr>
        <w:footnoteReference w:id="6"/>
      </w:r>
    </w:p>
    <w:sectPr w:rsidR="001E19F6" w:rsidRPr="0074258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A0C84" w14:textId="77777777" w:rsidR="006B4799" w:rsidRDefault="006B4799" w:rsidP="003101FC">
      <w:pPr>
        <w:spacing w:after="0" w:line="240" w:lineRule="auto"/>
      </w:pPr>
      <w:r>
        <w:separator/>
      </w:r>
    </w:p>
  </w:endnote>
  <w:endnote w:type="continuationSeparator" w:id="0">
    <w:p w14:paraId="2B2CF8BA" w14:textId="77777777" w:rsidR="006B4799" w:rsidRDefault="006B4799" w:rsidP="00310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2"/>
        <w:szCs w:val="22"/>
      </w:rPr>
      <w:id w:val="415595677"/>
      <w:docPartObj>
        <w:docPartGallery w:val="Page Numbers (Bottom of Page)"/>
        <w:docPartUnique/>
      </w:docPartObj>
    </w:sdtPr>
    <w:sdtEndPr/>
    <w:sdtContent>
      <w:p w14:paraId="5419DCBD" w14:textId="49B052BB" w:rsidR="003C4E9D" w:rsidRPr="003C4E9D" w:rsidRDefault="003C4E9D">
        <w:pPr>
          <w:pStyle w:val="Footer"/>
          <w:jc w:val="right"/>
          <w:rPr>
            <w:rFonts w:ascii="Calibri" w:hAnsi="Calibri" w:cs="Calibri"/>
            <w:sz w:val="22"/>
            <w:szCs w:val="22"/>
          </w:rPr>
        </w:pPr>
        <w:r w:rsidRPr="003C4E9D">
          <w:rPr>
            <w:rFonts w:ascii="Calibri" w:hAnsi="Calibri" w:cs="Calibri"/>
            <w:sz w:val="22"/>
            <w:szCs w:val="22"/>
          </w:rPr>
          <w:fldChar w:fldCharType="begin"/>
        </w:r>
        <w:r w:rsidRPr="003C4E9D">
          <w:rPr>
            <w:rFonts w:ascii="Calibri" w:hAnsi="Calibri" w:cs="Calibri"/>
            <w:sz w:val="22"/>
            <w:szCs w:val="22"/>
          </w:rPr>
          <w:instrText>PAGE   \* MERGEFORMAT</w:instrText>
        </w:r>
        <w:r w:rsidRPr="003C4E9D">
          <w:rPr>
            <w:rFonts w:ascii="Calibri" w:hAnsi="Calibri" w:cs="Calibri"/>
            <w:sz w:val="22"/>
            <w:szCs w:val="22"/>
          </w:rPr>
          <w:fldChar w:fldCharType="separate"/>
        </w:r>
        <w:r w:rsidRPr="003C4E9D">
          <w:rPr>
            <w:rFonts w:ascii="Calibri" w:hAnsi="Calibri" w:cs="Calibri"/>
            <w:sz w:val="22"/>
            <w:szCs w:val="22"/>
          </w:rPr>
          <w:t>2</w:t>
        </w:r>
        <w:r w:rsidRPr="003C4E9D">
          <w:rPr>
            <w:rFonts w:ascii="Calibri" w:hAnsi="Calibri" w:cs="Calibri"/>
            <w:sz w:val="22"/>
            <w:szCs w:val="22"/>
          </w:rPr>
          <w:fldChar w:fldCharType="end"/>
        </w:r>
      </w:p>
    </w:sdtContent>
  </w:sdt>
  <w:p w14:paraId="64E896F4" w14:textId="120CD3E0" w:rsidR="6BB915D8" w:rsidRPr="003C4E9D" w:rsidRDefault="003C4E9D" w:rsidP="6BB915D8">
    <w:pPr>
      <w:pStyle w:val="Footer"/>
      <w:rPr>
        <w:rFonts w:ascii="Calibri" w:hAnsi="Calibri" w:cs="Calibri"/>
        <w:sz w:val="22"/>
        <w:szCs w:val="22"/>
      </w:rPr>
    </w:pPr>
    <w:r>
      <w:rPr>
        <w:rFonts w:ascii="Calibri" w:hAnsi="Calibri" w:cs="Calibri"/>
        <w:noProof/>
        <w:sz w:val="22"/>
        <w:szCs w:val="22"/>
      </w:rPr>
      <w:drawing>
        <wp:inline distT="0" distB="0" distL="0" distR="0" wp14:anchorId="1128FB24" wp14:editId="5971CC2B">
          <wp:extent cx="2880000" cy="411111"/>
          <wp:effectExtent l="0" t="0" r="0" b="8255"/>
          <wp:docPr id="837903025" name="Obrázek 2" descr="Obsah obrázku text, Písmo, snímek obrazovky, Elektricky modrá&#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03025" name="Obrázek 2" descr="Obsah obrázku text, Písmo, snímek obrazovky, Elektricky modrá&#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2880000" cy="41111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497FE" w14:textId="77777777" w:rsidR="006B4799" w:rsidRDefault="006B4799" w:rsidP="003101FC">
      <w:pPr>
        <w:spacing w:after="0" w:line="240" w:lineRule="auto"/>
      </w:pPr>
      <w:r>
        <w:separator/>
      </w:r>
    </w:p>
  </w:footnote>
  <w:footnote w:type="continuationSeparator" w:id="0">
    <w:p w14:paraId="517D3670" w14:textId="77777777" w:rsidR="006B4799" w:rsidRDefault="006B4799" w:rsidP="003101FC">
      <w:pPr>
        <w:spacing w:after="0" w:line="240" w:lineRule="auto"/>
      </w:pPr>
      <w:r>
        <w:continuationSeparator/>
      </w:r>
    </w:p>
  </w:footnote>
  <w:footnote w:id="1">
    <w:p w14:paraId="5B0358C9" w14:textId="399DBA1F" w:rsidR="000831EE" w:rsidRPr="007A611A" w:rsidRDefault="000831EE" w:rsidP="000831EE">
      <w:pPr>
        <w:pStyle w:val="FootnoteText"/>
        <w:jc w:val="both"/>
        <w:rPr>
          <w:lang w:val="en-GB"/>
        </w:rPr>
      </w:pPr>
      <w:r w:rsidRPr="007A611A">
        <w:rPr>
          <w:rFonts w:ascii="Calibri" w:hAnsi="Calibri" w:cs="Calibri"/>
          <w:sz w:val="16"/>
          <w:szCs w:val="16"/>
          <w:lang w:val="en-GB"/>
        </w:rPr>
        <w:footnoteRef/>
      </w:r>
      <w:r w:rsidRPr="007A611A">
        <w:rPr>
          <w:rFonts w:ascii="Calibri" w:hAnsi="Calibri" w:cs="Calibri"/>
          <w:sz w:val="16"/>
          <w:szCs w:val="16"/>
          <w:lang w:val="en-GB"/>
        </w:rPr>
        <w:t xml:space="preserve"> </w:t>
      </w:r>
      <w:r w:rsidR="007A611A" w:rsidRPr="007A611A">
        <w:rPr>
          <w:rFonts w:ascii="Calibri" w:hAnsi="Calibri" w:cs="Calibri"/>
          <w:sz w:val="16"/>
          <w:szCs w:val="16"/>
          <w:lang w:val="en-GB"/>
        </w:rPr>
        <w:t xml:space="preserve">Creative Commons licences are a set of public licences that provide new opportunities in publishing copyrighted works and strengthen the position of the </w:t>
      </w:r>
      <w:r w:rsidR="007A611A">
        <w:rPr>
          <w:rFonts w:ascii="Calibri" w:hAnsi="Calibri" w:cs="Calibri"/>
          <w:sz w:val="16"/>
          <w:szCs w:val="16"/>
          <w:lang w:val="en-GB"/>
        </w:rPr>
        <w:t>creator</w:t>
      </w:r>
      <w:r w:rsidR="007A611A" w:rsidRPr="007A611A">
        <w:rPr>
          <w:rFonts w:ascii="Calibri" w:hAnsi="Calibri" w:cs="Calibri"/>
          <w:sz w:val="16"/>
          <w:szCs w:val="16"/>
          <w:lang w:val="en-GB"/>
        </w:rPr>
        <w:t xml:space="preserve"> in determining the conditions under which a work will be made publicly accessible. The CC BY 4.0 licence permits the free sharing of the work (</w:t>
      </w:r>
      <w:r w:rsidR="007A611A">
        <w:rPr>
          <w:rFonts w:ascii="Calibri" w:hAnsi="Calibri" w:cs="Calibri"/>
          <w:sz w:val="16"/>
          <w:szCs w:val="16"/>
          <w:lang w:val="en-GB"/>
        </w:rPr>
        <w:t>copying</w:t>
      </w:r>
      <w:r w:rsidR="007A611A" w:rsidRPr="007A611A">
        <w:rPr>
          <w:rFonts w:ascii="Calibri" w:hAnsi="Calibri" w:cs="Calibri"/>
          <w:sz w:val="16"/>
          <w:szCs w:val="16"/>
          <w:lang w:val="en-GB"/>
        </w:rPr>
        <w:t xml:space="preserve"> and </w:t>
      </w:r>
      <w:r w:rsidR="007A611A">
        <w:rPr>
          <w:rFonts w:ascii="Calibri" w:hAnsi="Calibri" w:cs="Calibri"/>
          <w:sz w:val="16"/>
          <w:szCs w:val="16"/>
          <w:lang w:val="en-GB"/>
        </w:rPr>
        <w:t>re-</w:t>
      </w:r>
      <w:r w:rsidR="007A611A" w:rsidRPr="007A611A">
        <w:rPr>
          <w:rFonts w:ascii="Calibri" w:hAnsi="Calibri" w:cs="Calibri"/>
          <w:sz w:val="16"/>
          <w:szCs w:val="16"/>
          <w:lang w:val="en-GB"/>
        </w:rPr>
        <w:t xml:space="preserve">distribution in any medium or format) and its adaptation (remixing, transforming and building upon the work for any purpose, including commercial use), </w:t>
      </w:r>
      <w:proofErr w:type="gramStart"/>
      <w:r w:rsidR="007A611A" w:rsidRPr="007A611A">
        <w:rPr>
          <w:rFonts w:ascii="Calibri" w:hAnsi="Calibri" w:cs="Calibri"/>
          <w:sz w:val="16"/>
          <w:szCs w:val="16"/>
          <w:lang w:val="en-GB"/>
        </w:rPr>
        <w:t>as long as</w:t>
      </w:r>
      <w:proofErr w:type="gramEnd"/>
      <w:r w:rsidR="007A611A" w:rsidRPr="007A611A">
        <w:rPr>
          <w:rFonts w:ascii="Calibri" w:hAnsi="Calibri" w:cs="Calibri"/>
          <w:sz w:val="16"/>
          <w:szCs w:val="16"/>
          <w:lang w:val="en-GB"/>
        </w:rPr>
        <w:t xml:space="preserve"> attribution is provided to the </w:t>
      </w:r>
      <w:r w:rsidR="007A611A">
        <w:rPr>
          <w:rFonts w:ascii="Calibri" w:hAnsi="Calibri" w:cs="Calibri"/>
          <w:sz w:val="16"/>
          <w:szCs w:val="16"/>
          <w:lang w:val="en-GB"/>
        </w:rPr>
        <w:t>creator</w:t>
      </w:r>
      <w:r w:rsidR="007A611A" w:rsidRPr="007A611A">
        <w:rPr>
          <w:rFonts w:ascii="Calibri" w:hAnsi="Calibri" w:cs="Calibri"/>
          <w:sz w:val="16"/>
          <w:szCs w:val="16"/>
          <w:lang w:val="en-GB"/>
        </w:rPr>
        <w:t xml:space="preserve">. For an explanation of the other </w:t>
      </w:r>
      <w:r w:rsidR="007A611A">
        <w:rPr>
          <w:rFonts w:ascii="Calibri" w:hAnsi="Calibri" w:cs="Calibri"/>
          <w:sz w:val="16"/>
          <w:szCs w:val="16"/>
          <w:lang w:val="en-GB"/>
        </w:rPr>
        <w:t>types</w:t>
      </w:r>
      <w:r w:rsidR="007A611A" w:rsidRPr="007A611A">
        <w:rPr>
          <w:rFonts w:ascii="Calibri" w:hAnsi="Calibri" w:cs="Calibri"/>
          <w:sz w:val="16"/>
          <w:szCs w:val="16"/>
          <w:lang w:val="en-GB"/>
        </w:rPr>
        <w:t xml:space="preserve">, see the </w:t>
      </w:r>
      <w:r w:rsidR="007A611A">
        <w:rPr>
          <w:rFonts w:ascii="Calibri" w:hAnsi="Calibri" w:cs="Calibri"/>
          <w:sz w:val="16"/>
          <w:szCs w:val="16"/>
          <w:lang w:val="en-GB"/>
        </w:rPr>
        <w:t>link</w:t>
      </w:r>
      <w:r w:rsidRPr="007A611A">
        <w:rPr>
          <w:rFonts w:ascii="Calibri" w:hAnsi="Calibri" w:cs="Calibri"/>
          <w:sz w:val="16"/>
          <w:szCs w:val="16"/>
          <w:lang w:val="en-GB"/>
        </w:rPr>
        <w:t xml:space="preserve">: </w:t>
      </w:r>
      <w:hyperlink r:id="rId1" w:history="1">
        <w:r w:rsidRPr="007A611A">
          <w:rPr>
            <w:rStyle w:val="Hyperlink"/>
            <w:rFonts w:ascii="Calibri" w:hAnsi="Calibri" w:cs="Calibri"/>
            <w:sz w:val="16"/>
            <w:szCs w:val="16"/>
            <w:lang w:val="en-GB"/>
          </w:rPr>
          <w:t>https://www.creativecommons.cz/%20licence-cc/varianty-licence/</w:t>
        </w:r>
      </w:hyperlink>
      <w:r w:rsidRPr="007A611A">
        <w:rPr>
          <w:rFonts w:ascii="Calibri" w:hAnsi="Calibri" w:cs="Calibri"/>
          <w:sz w:val="16"/>
          <w:szCs w:val="16"/>
          <w:lang w:val="en-GB"/>
        </w:rPr>
        <w:t xml:space="preserve">. </w:t>
      </w:r>
    </w:p>
  </w:footnote>
  <w:footnote w:id="2">
    <w:p w14:paraId="1CAFACE7" w14:textId="2CE30B36" w:rsidR="00E27F32" w:rsidRPr="00D07DC5" w:rsidRDefault="00E27F32" w:rsidP="009F232F">
      <w:pPr>
        <w:pStyle w:val="FootnoteText"/>
        <w:jc w:val="both"/>
        <w:rPr>
          <w:rFonts w:ascii="Calibri" w:hAnsi="Calibri" w:cs="Calibri"/>
          <w:sz w:val="16"/>
          <w:szCs w:val="16"/>
          <w:lang w:val="en-GB"/>
        </w:rPr>
      </w:pPr>
      <w:r w:rsidRPr="001043B9">
        <w:rPr>
          <w:rStyle w:val="FootnoteReference"/>
          <w:rFonts w:ascii="Calibri" w:hAnsi="Calibri" w:cs="Calibri"/>
          <w:sz w:val="16"/>
          <w:szCs w:val="16"/>
        </w:rPr>
        <w:footnoteRef/>
      </w:r>
      <w:r w:rsidRPr="001043B9">
        <w:rPr>
          <w:rFonts w:ascii="Calibri" w:hAnsi="Calibri" w:cs="Calibri"/>
          <w:sz w:val="16"/>
          <w:szCs w:val="16"/>
        </w:rPr>
        <w:t xml:space="preserve"> </w:t>
      </w:r>
      <w:r w:rsidR="007A611A" w:rsidRPr="00D07DC5">
        <w:rPr>
          <w:rFonts w:ascii="Calibri" w:hAnsi="Calibri" w:cs="Calibri"/>
          <w:sz w:val="16"/>
          <w:szCs w:val="16"/>
          <w:lang w:val="en-GB"/>
        </w:rPr>
        <w:t>See</w:t>
      </w:r>
      <w:r w:rsidR="00D07DC5" w:rsidRPr="00D07DC5">
        <w:rPr>
          <w:rFonts w:ascii="Calibri" w:hAnsi="Calibri" w:cs="Calibri"/>
          <w:sz w:val="16"/>
          <w:szCs w:val="16"/>
          <w:lang w:val="en-GB"/>
        </w:rPr>
        <w:t xml:space="preserve"> General Recommendation for Metadata Descriptions </w:t>
      </w:r>
      <w:r w:rsidR="00D07DC5">
        <w:rPr>
          <w:rFonts w:ascii="Calibri" w:hAnsi="Calibri" w:cs="Calibri"/>
          <w:sz w:val="16"/>
          <w:szCs w:val="16"/>
          <w:lang w:val="en-GB"/>
        </w:rPr>
        <w:t>for</w:t>
      </w:r>
      <w:r w:rsidR="00D07DC5" w:rsidRPr="00D07DC5">
        <w:rPr>
          <w:rFonts w:ascii="Calibri" w:hAnsi="Calibri" w:cs="Calibri"/>
          <w:sz w:val="16"/>
          <w:szCs w:val="16"/>
          <w:lang w:val="en-GB"/>
        </w:rPr>
        <w:t xml:space="preserve"> research output and research data</w:t>
      </w:r>
      <w:r w:rsidRPr="00D07DC5">
        <w:rPr>
          <w:rFonts w:ascii="Calibri" w:hAnsi="Calibri" w:cs="Calibri"/>
          <w:sz w:val="16"/>
          <w:szCs w:val="16"/>
          <w:lang w:val="en-GB"/>
        </w:rPr>
        <w:t xml:space="preserve"> </w:t>
      </w:r>
      <w:hyperlink r:id="rId2" w:history="1">
        <w:r w:rsidR="00FD6244" w:rsidRPr="00D07DC5">
          <w:rPr>
            <w:rStyle w:val="Hyperlink"/>
            <w:rFonts w:ascii="Calibri" w:hAnsi="Calibri" w:cs="Calibri"/>
            <w:sz w:val="16"/>
            <w:szCs w:val="16"/>
            <w:lang w:val="en-GB"/>
          </w:rPr>
          <w:t>https://doi.org/10.48813/yt6w-6h15</w:t>
        </w:r>
      </w:hyperlink>
      <w:r w:rsidRPr="00D07DC5">
        <w:rPr>
          <w:rFonts w:ascii="Calibri" w:hAnsi="Calibri" w:cs="Calibri"/>
          <w:sz w:val="16"/>
          <w:szCs w:val="16"/>
          <w:lang w:val="en-GB"/>
        </w:rPr>
        <w:t>.</w:t>
      </w:r>
    </w:p>
  </w:footnote>
  <w:footnote w:id="3">
    <w:p w14:paraId="449786DD" w14:textId="62202003" w:rsidR="005D1849" w:rsidRPr="001043B9" w:rsidRDefault="005D1849" w:rsidP="005D1849">
      <w:pPr>
        <w:pStyle w:val="FootnoteText"/>
        <w:jc w:val="both"/>
        <w:rPr>
          <w:rFonts w:ascii="Calibri" w:hAnsi="Calibri" w:cs="Calibri"/>
          <w:sz w:val="16"/>
          <w:szCs w:val="16"/>
        </w:rPr>
      </w:pPr>
      <w:r w:rsidRPr="00D07DC5">
        <w:rPr>
          <w:rStyle w:val="FootnoteReference"/>
          <w:rFonts w:ascii="Calibri" w:hAnsi="Calibri" w:cs="Calibri"/>
          <w:sz w:val="16"/>
          <w:szCs w:val="16"/>
          <w:lang w:val="en-GB"/>
        </w:rPr>
        <w:footnoteRef/>
      </w:r>
      <w:r w:rsidRPr="00D07DC5">
        <w:rPr>
          <w:rFonts w:ascii="Calibri" w:hAnsi="Calibri" w:cs="Calibri"/>
          <w:sz w:val="16"/>
          <w:szCs w:val="16"/>
          <w:lang w:val="en-GB"/>
        </w:rPr>
        <w:t xml:space="preserve"> </w:t>
      </w:r>
      <w:r w:rsidR="00D07DC5" w:rsidRPr="00D07DC5">
        <w:rPr>
          <w:rFonts w:ascii="Calibri" w:hAnsi="Calibri" w:cs="Calibri"/>
          <w:sz w:val="16"/>
          <w:szCs w:val="16"/>
          <w:lang w:val="en-GB"/>
        </w:rPr>
        <w:t>A more detailed description of FAIR principles is available here</w:t>
      </w:r>
      <w:r w:rsidRPr="00D07DC5">
        <w:rPr>
          <w:rFonts w:ascii="Calibri" w:hAnsi="Calibri" w:cs="Calibri"/>
          <w:sz w:val="16"/>
          <w:szCs w:val="16"/>
          <w:lang w:val="en-GB"/>
        </w:rPr>
        <w:t xml:space="preserve">: </w:t>
      </w:r>
      <w:hyperlink r:id="rId3" w:history="1">
        <w:r w:rsidRPr="00D07DC5">
          <w:rPr>
            <w:rStyle w:val="Hyperlink"/>
            <w:rFonts w:ascii="Calibri" w:hAnsi="Calibri" w:cs="Calibri"/>
            <w:sz w:val="16"/>
            <w:szCs w:val="16"/>
            <w:lang w:val="en-GB"/>
          </w:rPr>
          <w:t>https://www.go-fair.org/fair-principles/</w:t>
        </w:r>
      </w:hyperlink>
      <w:r w:rsidRPr="001043B9">
        <w:rPr>
          <w:rFonts w:ascii="Calibri" w:hAnsi="Calibri" w:cs="Calibri"/>
          <w:sz w:val="16"/>
          <w:szCs w:val="16"/>
        </w:rPr>
        <w:t xml:space="preserve">.  </w:t>
      </w:r>
    </w:p>
  </w:footnote>
  <w:footnote w:id="4">
    <w:p w14:paraId="7482F720" w14:textId="2D1259F5" w:rsidR="007C7C71" w:rsidRPr="007C7C71" w:rsidRDefault="007C7C71" w:rsidP="007C7C71">
      <w:pPr>
        <w:pStyle w:val="FootnoteText"/>
        <w:rPr>
          <w:lang w:val="en-GB"/>
        </w:rPr>
      </w:pPr>
      <w:r>
        <w:rPr>
          <w:rStyle w:val="FootnoteReference"/>
        </w:rPr>
        <w:footnoteRef/>
      </w:r>
      <w:r>
        <w:t xml:space="preserve"> </w:t>
      </w:r>
      <w:r w:rsidRPr="007C7C71">
        <w:rPr>
          <w:rFonts w:ascii="Calibri" w:hAnsi="Calibri" w:cs="Calibri"/>
          <w:sz w:val="16"/>
          <w:szCs w:val="16"/>
          <w:lang w:val="en-GB"/>
        </w:rPr>
        <w:t xml:space="preserve">See Handbook of Open Science Procedures available on the OP JAK website: </w:t>
      </w:r>
      <w:hyperlink r:id="rId4" w:history="1">
        <w:r w:rsidRPr="007C7C71">
          <w:rPr>
            <w:rStyle w:val="Hyperlink"/>
            <w:rFonts w:ascii="Calibri" w:hAnsi="Calibri" w:cs="Calibri"/>
            <w:sz w:val="16"/>
            <w:szCs w:val="16"/>
            <w:lang w:val="en-GB"/>
          </w:rPr>
          <w:t>https://opjak.cz/dokumenty/otevrena-veda/</w:t>
        </w:r>
      </w:hyperlink>
      <w:r w:rsidRPr="007C7C71">
        <w:rPr>
          <w:rFonts w:ascii="Calibri" w:hAnsi="Calibri" w:cs="Calibri"/>
          <w:sz w:val="16"/>
          <w:szCs w:val="16"/>
          <w:lang w:val="en-GB"/>
        </w:rPr>
        <w:t xml:space="preserve">. </w:t>
      </w:r>
    </w:p>
  </w:footnote>
  <w:footnote w:id="5">
    <w:p w14:paraId="10702F0F" w14:textId="0FB3BA46" w:rsidR="00CE78DA" w:rsidRPr="007C7C71" w:rsidRDefault="00CE78DA">
      <w:pPr>
        <w:pStyle w:val="FootnoteText"/>
        <w:rPr>
          <w:lang w:val="en-GB"/>
        </w:rPr>
      </w:pPr>
      <w:r w:rsidRPr="007C7C71">
        <w:rPr>
          <w:rStyle w:val="FootnoteReference"/>
          <w:lang w:val="en-GB"/>
        </w:rPr>
        <w:footnoteRef/>
      </w:r>
      <w:r w:rsidRPr="007C7C71">
        <w:rPr>
          <w:lang w:val="en-GB"/>
        </w:rPr>
        <w:t xml:space="preserve"> </w:t>
      </w:r>
      <w:r w:rsidR="004B0E62" w:rsidRPr="007C7C71">
        <w:rPr>
          <w:rFonts w:ascii="Calibri" w:hAnsi="Calibri" w:cs="Calibri"/>
          <w:sz w:val="16"/>
          <w:szCs w:val="16"/>
          <w:lang w:val="en-GB"/>
        </w:rPr>
        <w:t>See General Recommendation for Metadata Descriptions for research output and research data</w:t>
      </w:r>
      <w:r w:rsidRPr="007C7C71">
        <w:rPr>
          <w:rFonts w:ascii="Calibri" w:hAnsi="Calibri" w:cs="Calibri"/>
          <w:sz w:val="16"/>
          <w:szCs w:val="16"/>
          <w:lang w:val="en-GB"/>
        </w:rPr>
        <w:t xml:space="preserve">: </w:t>
      </w:r>
      <w:hyperlink r:id="rId5" w:history="1">
        <w:r w:rsidRPr="007C7C71">
          <w:rPr>
            <w:rStyle w:val="Hyperlink"/>
            <w:rFonts w:ascii="Calibri" w:hAnsi="Calibri" w:cs="Calibri"/>
            <w:sz w:val="16"/>
            <w:szCs w:val="16"/>
            <w:lang w:val="en-GB"/>
          </w:rPr>
          <w:t>https://doi.org/10.48813/yt6w-6h15</w:t>
        </w:r>
      </w:hyperlink>
      <w:r w:rsidRPr="007C7C71">
        <w:rPr>
          <w:rFonts w:ascii="Calibri" w:hAnsi="Calibri" w:cs="Calibri"/>
          <w:sz w:val="16"/>
          <w:szCs w:val="16"/>
          <w:lang w:val="en-GB"/>
        </w:rPr>
        <w:t>.</w:t>
      </w:r>
    </w:p>
  </w:footnote>
  <w:footnote w:id="6">
    <w:p w14:paraId="7176FAF3" w14:textId="6450D4A6" w:rsidR="007A1F6D" w:rsidRPr="007C7C71" w:rsidRDefault="007A1F6D">
      <w:pPr>
        <w:pStyle w:val="FootnoteText"/>
        <w:rPr>
          <w:rFonts w:ascii="Calibri" w:hAnsi="Calibri" w:cs="Calibri"/>
          <w:lang w:val="en-GB"/>
        </w:rPr>
      </w:pPr>
      <w:r w:rsidRPr="007C7C71">
        <w:rPr>
          <w:rStyle w:val="FootnoteReference"/>
          <w:rFonts w:ascii="Calibri" w:hAnsi="Calibri" w:cs="Calibri"/>
          <w:sz w:val="16"/>
          <w:szCs w:val="16"/>
          <w:lang w:val="en-GB"/>
        </w:rPr>
        <w:footnoteRef/>
      </w:r>
      <w:r w:rsidRPr="007C7C71">
        <w:rPr>
          <w:rFonts w:ascii="Calibri" w:hAnsi="Calibri" w:cs="Calibri"/>
          <w:sz w:val="16"/>
          <w:szCs w:val="16"/>
          <w:lang w:val="en-GB"/>
        </w:rPr>
        <w:t xml:space="preserve"> </w:t>
      </w:r>
      <w:r w:rsidR="007C7C71">
        <w:rPr>
          <w:rFonts w:ascii="Calibri" w:hAnsi="Calibri" w:cs="Calibri"/>
          <w:sz w:val="16"/>
          <w:szCs w:val="16"/>
          <w:lang w:val="en-GB"/>
        </w:rPr>
        <w:t>The handbook is available at</w:t>
      </w:r>
      <w:r w:rsidRPr="007C7C71">
        <w:rPr>
          <w:rFonts w:ascii="Calibri" w:hAnsi="Calibri" w:cs="Calibri"/>
          <w:sz w:val="16"/>
          <w:szCs w:val="16"/>
          <w:lang w:val="en-GB"/>
        </w:rPr>
        <w:t xml:space="preserve">: </w:t>
      </w:r>
      <w:hyperlink r:id="rId6" w:history="1">
        <w:r w:rsidR="00684212" w:rsidRPr="007C7C71">
          <w:rPr>
            <w:rStyle w:val="Hyperlink"/>
            <w:rFonts w:ascii="Calibri" w:hAnsi="Calibri" w:cs="Calibri"/>
            <w:sz w:val="16"/>
            <w:szCs w:val="16"/>
            <w:lang w:val="en-GB"/>
          </w:rPr>
          <w:t>https://opjak.cz/dokumenty/otevrena-veda/</w:t>
        </w:r>
      </w:hyperlink>
      <w:r w:rsidR="005C2AF6" w:rsidRPr="007C7C71">
        <w:rPr>
          <w:rFonts w:ascii="Calibri" w:hAnsi="Calibri" w:cs="Calibri"/>
          <w:sz w:val="16"/>
          <w:szCs w:val="16"/>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C2274" w14:textId="4772CC8A" w:rsidR="6BB915D8" w:rsidRDefault="003C4E9D" w:rsidP="6BB915D8">
    <w:pPr>
      <w:pStyle w:val="Header"/>
    </w:pPr>
    <w:r>
      <w:rPr>
        <w:noProof/>
      </w:rPr>
      <w:drawing>
        <wp:inline distT="0" distB="0" distL="0" distR="0" wp14:anchorId="1A1DA360" wp14:editId="12C275F5">
          <wp:extent cx="1440000" cy="703009"/>
          <wp:effectExtent l="0" t="0" r="8255" b="1905"/>
          <wp:docPr id="829817970" name="Obrázek 1" descr="Obsah obrázku text, Písmo, Grafika, log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817970" name="Obrázek 1" descr="Obsah obrázku text, Písmo, Grafika, logo&#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440000" cy="703009"/>
                  </a:xfrm>
                  <a:prstGeom prst="rect">
                    <a:avLst/>
                  </a:prstGeom>
                </pic:spPr>
              </pic:pic>
            </a:graphicData>
          </a:graphic>
        </wp:inline>
      </w:drawing>
    </w:r>
  </w:p>
  <w:p w14:paraId="6B1C59FA" w14:textId="77777777" w:rsidR="003C4E9D" w:rsidRDefault="003C4E9D" w:rsidP="6BB915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170A4"/>
    <w:multiLevelType w:val="hybridMultilevel"/>
    <w:tmpl w:val="0BEE1BB4"/>
    <w:lvl w:ilvl="0" w:tplc="31A4B84E">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17C597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7130F3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D79253D"/>
    <w:multiLevelType w:val="hybridMultilevel"/>
    <w:tmpl w:val="05443CF8"/>
    <w:lvl w:ilvl="0" w:tplc="C7242F90">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303B13DD"/>
    <w:multiLevelType w:val="hybridMultilevel"/>
    <w:tmpl w:val="0B16905A"/>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9F80FF1"/>
    <w:multiLevelType w:val="hybridMultilevel"/>
    <w:tmpl w:val="7CD4475E"/>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3D88597C"/>
    <w:multiLevelType w:val="hybridMultilevel"/>
    <w:tmpl w:val="D77410DA"/>
    <w:lvl w:ilvl="0" w:tplc="B9D6C106">
      <w:start w:val="1"/>
      <w:numFmt w:val="decimal"/>
      <w:lvlText w:val="%1)"/>
      <w:lvlJc w:val="left"/>
      <w:pPr>
        <w:ind w:left="720" w:hanging="360"/>
      </w:pPr>
      <w:rPr>
        <w:rFonts w:hint="default"/>
        <w:b/>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A4FE5B5"/>
    <w:multiLevelType w:val="hybridMultilevel"/>
    <w:tmpl w:val="48C41B2E"/>
    <w:lvl w:ilvl="0" w:tplc="31A4B84E">
      <w:numFmt w:val="bullet"/>
      <w:lvlText w:val="-"/>
      <w:lvlJc w:val="left"/>
      <w:rPr>
        <w:rFonts w:ascii="Times New Roman" w:eastAsiaTheme="minorHAnsi"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47393327">
    <w:abstractNumId w:val="1"/>
  </w:num>
  <w:num w:numId="2" w16cid:durableId="947661006">
    <w:abstractNumId w:val="7"/>
  </w:num>
  <w:num w:numId="3" w16cid:durableId="629552111">
    <w:abstractNumId w:val="2"/>
  </w:num>
  <w:num w:numId="4" w16cid:durableId="1001469906">
    <w:abstractNumId w:val="5"/>
  </w:num>
  <w:num w:numId="5" w16cid:durableId="1875384172">
    <w:abstractNumId w:val="6"/>
  </w:num>
  <w:num w:numId="6" w16cid:durableId="579632830">
    <w:abstractNumId w:val="0"/>
  </w:num>
  <w:num w:numId="7" w16cid:durableId="815952246">
    <w:abstractNumId w:val="4"/>
  </w:num>
  <w:num w:numId="8" w16cid:durableId="19210176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1E1"/>
    <w:rsid w:val="00017D89"/>
    <w:rsid w:val="00024624"/>
    <w:rsid w:val="000411E1"/>
    <w:rsid w:val="0004375F"/>
    <w:rsid w:val="000831EE"/>
    <w:rsid w:val="001043B9"/>
    <w:rsid w:val="00104AB1"/>
    <w:rsid w:val="0015238E"/>
    <w:rsid w:val="00157172"/>
    <w:rsid w:val="00183F33"/>
    <w:rsid w:val="00194BB9"/>
    <w:rsid w:val="001A12FE"/>
    <w:rsid w:val="001B3AD6"/>
    <w:rsid w:val="001C2658"/>
    <w:rsid w:val="001D52D3"/>
    <w:rsid w:val="001D58CE"/>
    <w:rsid w:val="001E19F6"/>
    <w:rsid w:val="001E2189"/>
    <w:rsid w:val="001F0AA9"/>
    <w:rsid w:val="00220627"/>
    <w:rsid w:val="00263E3B"/>
    <w:rsid w:val="002A5193"/>
    <w:rsid w:val="002F703C"/>
    <w:rsid w:val="003101FC"/>
    <w:rsid w:val="00312B90"/>
    <w:rsid w:val="0032511E"/>
    <w:rsid w:val="00352591"/>
    <w:rsid w:val="00381B6D"/>
    <w:rsid w:val="003A2A54"/>
    <w:rsid w:val="003A5F24"/>
    <w:rsid w:val="003A77C3"/>
    <w:rsid w:val="003C4E9D"/>
    <w:rsid w:val="00474658"/>
    <w:rsid w:val="00480FB1"/>
    <w:rsid w:val="004B0E62"/>
    <w:rsid w:val="004B2F93"/>
    <w:rsid w:val="004D06B9"/>
    <w:rsid w:val="005415B5"/>
    <w:rsid w:val="00542BAC"/>
    <w:rsid w:val="00544657"/>
    <w:rsid w:val="005673D3"/>
    <w:rsid w:val="005B2730"/>
    <w:rsid w:val="005C2AF6"/>
    <w:rsid w:val="005C327A"/>
    <w:rsid w:val="005D1849"/>
    <w:rsid w:val="005F04BF"/>
    <w:rsid w:val="005F3E95"/>
    <w:rsid w:val="00620564"/>
    <w:rsid w:val="0062741B"/>
    <w:rsid w:val="00635C21"/>
    <w:rsid w:val="006459F5"/>
    <w:rsid w:val="0066586F"/>
    <w:rsid w:val="00684212"/>
    <w:rsid w:val="00690640"/>
    <w:rsid w:val="006B4799"/>
    <w:rsid w:val="006B489A"/>
    <w:rsid w:val="006C5FB1"/>
    <w:rsid w:val="006F7F09"/>
    <w:rsid w:val="00742586"/>
    <w:rsid w:val="007A1F6D"/>
    <w:rsid w:val="007A611A"/>
    <w:rsid w:val="007C7C71"/>
    <w:rsid w:val="0085485D"/>
    <w:rsid w:val="00862916"/>
    <w:rsid w:val="00867E47"/>
    <w:rsid w:val="008A0D0F"/>
    <w:rsid w:val="00934E0A"/>
    <w:rsid w:val="00952263"/>
    <w:rsid w:val="009B351C"/>
    <w:rsid w:val="009F232F"/>
    <w:rsid w:val="00A6615D"/>
    <w:rsid w:val="00B0643D"/>
    <w:rsid w:val="00B56E44"/>
    <w:rsid w:val="00B9159A"/>
    <w:rsid w:val="00BA3C16"/>
    <w:rsid w:val="00BE40FF"/>
    <w:rsid w:val="00C00A53"/>
    <w:rsid w:val="00C3191A"/>
    <w:rsid w:val="00C447BB"/>
    <w:rsid w:val="00C51AD9"/>
    <w:rsid w:val="00C97566"/>
    <w:rsid w:val="00CE78DA"/>
    <w:rsid w:val="00D07DC5"/>
    <w:rsid w:val="00D2163B"/>
    <w:rsid w:val="00D93882"/>
    <w:rsid w:val="00D95481"/>
    <w:rsid w:val="00DA1129"/>
    <w:rsid w:val="00DC527A"/>
    <w:rsid w:val="00DD5E42"/>
    <w:rsid w:val="00DF08C6"/>
    <w:rsid w:val="00E13FE1"/>
    <w:rsid w:val="00E15FC0"/>
    <w:rsid w:val="00E24E95"/>
    <w:rsid w:val="00E27F32"/>
    <w:rsid w:val="00E3291C"/>
    <w:rsid w:val="00E53B5A"/>
    <w:rsid w:val="00E57ABD"/>
    <w:rsid w:val="00E629D9"/>
    <w:rsid w:val="00E70E7B"/>
    <w:rsid w:val="00E93F4A"/>
    <w:rsid w:val="00EC4B26"/>
    <w:rsid w:val="00EC7342"/>
    <w:rsid w:val="00EE56A5"/>
    <w:rsid w:val="00F21DDC"/>
    <w:rsid w:val="00F22231"/>
    <w:rsid w:val="00F80D12"/>
    <w:rsid w:val="00FA6F52"/>
    <w:rsid w:val="00FD6244"/>
    <w:rsid w:val="00FE59B2"/>
    <w:rsid w:val="01B48700"/>
    <w:rsid w:val="0D39C10C"/>
    <w:rsid w:val="0EC2AEB2"/>
    <w:rsid w:val="0FAD0D7B"/>
    <w:rsid w:val="104863C2"/>
    <w:rsid w:val="14A2BEE2"/>
    <w:rsid w:val="271C69C0"/>
    <w:rsid w:val="2B4594EB"/>
    <w:rsid w:val="32474F3D"/>
    <w:rsid w:val="3402255B"/>
    <w:rsid w:val="3727C8CF"/>
    <w:rsid w:val="38C59C8A"/>
    <w:rsid w:val="43B37234"/>
    <w:rsid w:val="4A7E315F"/>
    <w:rsid w:val="50B4E16E"/>
    <w:rsid w:val="5CB51213"/>
    <w:rsid w:val="61E1517E"/>
    <w:rsid w:val="65F4F724"/>
    <w:rsid w:val="68BD82B8"/>
    <w:rsid w:val="6BB915D8"/>
    <w:rsid w:val="6C2C8EE0"/>
    <w:rsid w:val="6CDBCF33"/>
    <w:rsid w:val="755E58AA"/>
    <w:rsid w:val="78E757B5"/>
    <w:rsid w:val="7EC7FE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DB5A0"/>
  <w15:chartTrackingRefBased/>
  <w15:docId w15:val="{054747C1-4F73-4881-B4B9-2ECCF4BE1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11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11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11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11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11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11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11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11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11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1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11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11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11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11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11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11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11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11E1"/>
    <w:rPr>
      <w:rFonts w:eastAsiaTheme="majorEastAsia" w:cstheme="majorBidi"/>
      <w:color w:val="272727" w:themeColor="text1" w:themeTint="D8"/>
    </w:rPr>
  </w:style>
  <w:style w:type="paragraph" w:styleId="Title">
    <w:name w:val="Title"/>
    <w:basedOn w:val="Normal"/>
    <w:next w:val="Normal"/>
    <w:link w:val="TitleChar"/>
    <w:uiPriority w:val="10"/>
    <w:qFormat/>
    <w:rsid w:val="000411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1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1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11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1E1"/>
    <w:pPr>
      <w:spacing w:before="160"/>
      <w:jc w:val="center"/>
    </w:pPr>
    <w:rPr>
      <w:i/>
      <w:iCs/>
      <w:color w:val="404040" w:themeColor="text1" w:themeTint="BF"/>
    </w:rPr>
  </w:style>
  <w:style w:type="character" w:customStyle="1" w:styleId="QuoteChar">
    <w:name w:val="Quote Char"/>
    <w:basedOn w:val="DefaultParagraphFont"/>
    <w:link w:val="Quote"/>
    <w:uiPriority w:val="29"/>
    <w:rsid w:val="000411E1"/>
    <w:rPr>
      <w:i/>
      <w:iCs/>
      <w:color w:val="404040" w:themeColor="text1" w:themeTint="BF"/>
    </w:rPr>
  </w:style>
  <w:style w:type="paragraph" w:styleId="ListParagraph">
    <w:name w:val="List Paragraph"/>
    <w:basedOn w:val="Normal"/>
    <w:uiPriority w:val="34"/>
    <w:qFormat/>
    <w:rsid w:val="000411E1"/>
    <w:pPr>
      <w:ind w:left="720"/>
      <w:contextualSpacing/>
    </w:pPr>
  </w:style>
  <w:style w:type="character" w:styleId="IntenseEmphasis">
    <w:name w:val="Intense Emphasis"/>
    <w:basedOn w:val="DefaultParagraphFont"/>
    <w:uiPriority w:val="21"/>
    <w:qFormat/>
    <w:rsid w:val="000411E1"/>
    <w:rPr>
      <w:i/>
      <w:iCs/>
      <w:color w:val="0F4761" w:themeColor="accent1" w:themeShade="BF"/>
    </w:rPr>
  </w:style>
  <w:style w:type="paragraph" w:styleId="IntenseQuote">
    <w:name w:val="Intense Quote"/>
    <w:basedOn w:val="Normal"/>
    <w:next w:val="Normal"/>
    <w:link w:val="IntenseQuoteChar"/>
    <w:uiPriority w:val="30"/>
    <w:qFormat/>
    <w:rsid w:val="000411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11E1"/>
    <w:rPr>
      <w:i/>
      <w:iCs/>
      <w:color w:val="0F4761" w:themeColor="accent1" w:themeShade="BF"/>
    </w:rPr>
  </w:style>
  <w:style w:type="character" w:styleId="IntenseReference">
    <w:name w:val="Intense Reference"/>
    <w:basedOn w:val="DefaultParagraphFont"/>
    <w:uiPriority w:val="32"/>
    <w:qFormat/>
    <w:rsid w:val="000411E1"/>
    <w:rPr>
      <w:b/>
      <w:bCs/>
      <w:smallCaps/>
      <w:color w:val="0F4761" w:themeColor="accent1" w:themeShade="BF"/>
      <w:spacing w:val="5"/>
    </w:rPr>
  </w:style>
  <w:style w:type="paragraph" w:styleId="FootnoteText">
    <w:name w:val="footnote text"/>
    <w:basedOn w:val="Normal"/>
    <w:link w:val="FootnoteTextChar"/>
    <w:uiPriority w:val="99"/>
    <w:semiHidden/>
    <w:unhideWhenUsed/>
    <w:rsid w:val="003101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01FC"/>
    <w:rPr>
      <w:sz w:val="20"/>
      <w:szCs w:val="20"/>
    </w:rPr>
  </w:style>
  <w:style w:type="character" w:styleId="FootnoteReference">
    <w:name w:val="footnote reference"/>
    <w:basedOn w:val="DefaultParagraphFont"/>
    <w:uiPriority w:val="99"/>
    <w:semiHidden/>
    <w:unhideWhenUsed/>
    <w:rsid w:val="003101FC"/>
    <w:rPr>
      <w:vertAlign w:val="superscript"/>
    </w:rPr>
  </w:style>
  <w:style w:type="paragraph" w:styleId="Revision">
    <w:name w:val="Revision"/>
    <w:hidden/>
    <w:uiPriority w:val="99"/>
    <w:semiHidden/>
    <w:rsid w:val="00DD5E42"/>
    <w:pPr>
      <w:spacing w:after="0" w:line="240" w:lineRule="auto"/>
    </w:pPr>
  </w:style>
  <w:style w:type="paragraph" w:customStyle="1" w:styleId="Nadpis1rovn">
    <w:name w:val="Nadpis 1. úrovně"/>
    <w:basedOn w:val="Heading1"/>
    <w:link w:val="Nadpis1rovnChar"/>
    <w:qFormat/>
    <w:rsid w:val="001043B9"/>
    <w:pPr>
      <w:keepLines w:val="0"/>
      <w:widowControl w:val="0"/>
      <w:adjustRightInd w:val="0"/>
      <w:spacing w:before="480" w:after="480" w:line="240" w:lineRule="auto"/>
      <w:jc w:val="both"/>
      <w:textAlignment w:val="baseline"/>
    </w:pPr>
    <w:rPr>
      <w:rFonts w:asciiTheme="minorHAnsi" w:eastAsiaTheme="minorHAnsi" w:hAnsiTheme="minorHAnsi" w:cs="Arial"/>
      <w:b/>
      <w:bCs/>
      <w:caps/>
      <w:color w:val="173271"/>
      <w:kern w:val="32"/>
      <w:sz w:val="28"/>
      <w:szCs w:val="32"/>
      <w14:ligatures w14:val="none"/>
    </w:rPr>
  </w:style>
  <w:style w:type="character" w:customStyle="1" w:styleId="Nadpis1rovnChar">
    <w:name w:val="Nadpis 1. úrovně Char"/>
    <w:basedOn w:val="DefaultParagraphFont"/>
    <w:link w:val="Nadpis1rovn"/>
    <w:rsid w:val="001043B9"/>
    <w:rPr>
      <w:rFonts w:cs="Arial"/>
      <w:b/>
      <w:bCs/>
      <w:caps/>
      <w:color w:val="173271"/>
      <w:kern w:val="32"/>
      <w:sz w:val="28"/>
      <w:szCs w:val="32"/>
      <w14:ligatures w14:val="none"/>
    </w:rPr>
  </w:style>
  <w:style w:type="paragraph" w:styleId="Header">
    <w:name w:val="header"/>
    <w:basedOn w:val="Normal"/>
    <w:uiPriority w:val="99"/>
    <w:unhideWhenUsed/>
    <w:rsid w:val="6BB915D8"/>
    <w:pPr>
      <w:tabs>
        <w:tab w:val="center" w:pos="4680"/>
        <w:tab w:val="right" w:pos="9360"/>
      </w:tabs>
      <w:spacing w:after="0" w:line="240" w:lineRule="auto"/>
    </w:pPr>
  </w:style>
  <w:style w:type="paragraph" w:styleId="Footer">
    <w:name w:val="footer"/>
    <w:basedOn w:val="Normal"/>
    <w:link w:val="FooterChar"/>
    <w:uiPriority w:val="99"/>
    <w:unhideWhenUsed/>
    <w:rsid w:val="6BB915D8"/>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3C4E9D"/>
  </w:style>
  <w:style w:type="character" w:styleId="Hyperlink">
    <w:name w:val="Hyperlink"/>
    <w:basedOn w:val="DefaultParagraphFont"/>
    <w:uiPriority w:val="99"/>
    <w:unhideWhenUsed/>
    <w:rsid w:val="00FD6244"/>
    <w:rPr>
      <w:color w:val="467886" w:themeColor="hyperlink"/>
      <w:u w:val="single"/>
    </w:rPr>
  </w:style>
  <w:style w:type="character" w:styleId="UnresolvedMention">
    <w:name w:val="Unresolved Mention"/>
    <w:basedOn w:val="DefaultParagraphFont"/>
    <w:uiPriority w:val="99"/>
    <w:semiHidden/>
    <w:unhideWhenUsed/>
    <w:rsid w:val="00FD6244"/>
    <w:rPr>
      <w:color w:val="605E5C"/>
      <w:shd w:val="clear" w:color="auto" w:fill="E1DFDD"/>
    </w:rPr>
  </w:style>
  <w:style w:type="character" w:styleId="FollowedHyperlink">
    <w:name w:val="FollowedHyperlink"/>
    <w:basedOn w:val="DefaultParagraphFont"/>
    <w:uiPriority w:val="99"/>
    <w:semiHidden/>
    <w:unhideWhenUsed/>
    <w:rsid w:val="006B489A"/>
    <w:rPr>
      <w:color w:val="96607D" w:themeColor="followedHyperlink"/>
      <w:u w:val="single"/>
    </w:rPr>
  </w:style>
  <w:style w:type="character" w:styleId="CommentReference">
    <w:name w:val="annotation reference"/>
    <w:basedOn w:val="DefaultParagraphFont"/>
    <w:uiPriority w:val="99"/>
    <w:semiHidden/>
    <w:unhideWhenUsed/>
    <w:rsid w:val="004B0E62"/>
    <w:rPr>
      <w:sz w:val="16"/>
      <w:szCs w:val="16"/>
    </w:rPr>
  </w:style>
  <w:style w:type="paragraph" w:styleId="CommentText">
    <w:name w:val="annotation text"/>
    <w:basedOn w:val="Normal"/>
    <w:link w:val="CommentTextChar"/>
    <w:uiPriority w:val="99"/>
    <w:unhideWhenUsed/>
    <w:rsid w:val="004B0E62"/>
    <w:pPr>
      <w:spacing w:line="240" w:lineRule="auto"/>
    </w:pPr>
    <w:rPr>
      <w:sz w:val="20"/>
      <w:szCs w:val="20"/>
    </w:rPr>
  </w:style>
  <w:style w:type="character" w:customStyle="1" w:styleId="CommentTextChar">
    <w:name w:val="Comment Text Char"/>
    <w:basedOn w:val="DefaultParagraphFont"/>
    <w:link w:val="CommentText"/>
    <w:uiPriority w:val="99"/>
    <w:rsid w:val="004B0E62"/>
    <w:rPr>
      <w:sz w:val="20"/>
      <w:szCs w:val="20"/>
    </w:rPr>
  </w:style>
  <w:style w:type="paragraph" w:styleId="CommentSubject">
    <w:name w:val="annotation subject"/>
    <w:basedOn w:val="CommentText"/>
    <w:next w:val="CommentText"/>
    <w:link w:val="CommentSubjectChar"/>
    <w:uiPriority w:val="99"/>
    <w:semiHidden/>
    <w:unhideWhenUsed/>
    <w:rsid w:val="004B0E62"/>
    <w:rPr>
      <w:b/>
      <w:bCs/>
    </w:rPr>
  </w:style>
  <w:style w:type="character" w:customStyle="1" w:styleId="CommentSubjectChar">
    <w:name w:val="Comment Subject Char"/>
    <w:basedOn w:val="CommentTextChar"/>
    <w:link w:val="CommentSubject"/>
    <w:uiPriority w:val="99"/>
    <w:semiHidden/>
    <w:rsid w:val="004B0E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6377">
      <w:bodyDiv w:val="1"/>
      <w:marLeft w:val="0"/>
      <w:marRight w:val="0"/>
      <w:marTop w:val="0"/>
      <w:marBottom w:val="0"/>
      <w:divBdr>
        <w:top w:val="none" w:sz="0" w:space="0" w:color="auto"/>
        <w:left w:val="none" w:sz="0" w:space="0" w:color="auto"/>
        <w:bottom w:val="none" w:sz="0" w:space="0" w:color="auto"/>
        <w:right w:val="none" w:sz="0" w:space="0" w:color="auto"/>
      </w:divBdr>
    </w:div>
    <w:div w:id="116523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3" Type="http://schemas.openxmlformats.org/officeDocument/2006/relationships/hyperlink" Target="https://www.go-fair.org/fair-principles/" TargetMode="External"/><Relationship Id="rId2" Type="http://schemas.openxmlformats.org/officeDocument/2006/relationships/hyperlink" Target="https://doi.org/10.48813/yt6w-6h15" TargetMode="External"/><Relationship Id="rId1" Type="http://schemas.openxmlformats.org/officeDocument/2006/relationships/hyperlink" Target="https://www.creativecommons.cz/%20licence-cc/varianty-licence/" TargetMode="External"/><Relationship Id="rId6" Type="http://schemas.openxmlformats.org/officeDocument/2006/relationships/hyperlink" Target="https://opjak.cz/dokumenty/otevrena-veda/" TargetMode="External"/><Relationship Id="rId5" Type="http://schemas.openxmlformats.org/officeDocument/2006/relationships/hyperlink" Target="https://doi.org/10.48813/yt6w-6h15" TargetMode="External"/><Relationship Id="rId4" Type="http://schemas.openxmlformats.org/officeDocument/2006/relationships/hyperlink" Target="https://opjak.cz/dokumenty/otevrena-ved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218dcd1-4bb2-43e0-bed0-390067e6b480">
      <Terms xmlns="http://schemas.microsoft.com/office/infopath/2007/PartnerControls"/>
    </lcf76f155ced4ddcb4097134ff3c332f>
    <TaxCatchAll xmlns="c7480430-9920-4919-8529-f12356b0003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F6348E33B7A8F4AACB335ADF7066395" ma:contentTypeVersion="11" ma:contentTypeDescription="Vytvoří nový dokument" ma:contentTypeScope="" ma:versionID="e44bba9e35eaf108d4cf5095bfb42999">
  <xsd:schema xmlns:xsd="http://www.w3.org/2001/XMLSchema" xmlns:xs="http://www.w3.org/2001/XMLSchema" xmlns:p="http://schemas.microsoft.com/office/2006/metadata/properties" xmlns:ns2="d218dcd1-4bb2-43e0-bed0-390067e6b480" xmlns:ns3="c7480430-9920-4919-8529-f12356b00037" targetNamespace="http://schemas.microsoft.com/office/2006/metadata/properties" ma:root="true" ma:fieldsID="37a40b8455bc78d623533f23efcee69a" ns2:_="" ns3:_="">
    <xsd:import namespace="d218dcd1-4bb2-43e0-bed0-390067e6b480"/>
    <xsd:import namespace="c7480430-9920-4919-8529-f12356b000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8dcd1-4bb2-43e0-bed0-390067e6b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66d2233e-f51f-4a80-9a78-f59575beef9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480430-9920-4919-8529-f12356b000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4b3a051-d20e-4872-8820-57e7a655e66b}" ma:internalName="TaxCatchAll" ma:showField="CatchAllData" ma:web="c7480430-9920-4919-8529-f12356b000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FC9F2C-FE9D-4282-AE61-DB44F18FA424}">
  <ds:schemaRefs>
    <ds:schemaRef ds:uri="http://schemas.microsoft.com/sharepoint/v3/contenttype/forms"/>
  </ds:schemaRefs>
</ds:datastoreItem>
</file>

<file path=customXml/itemProps2.xml><?xml version="1.0" encoding="utf-8"?>
<ds:datastoreItem xmlns:ds="http://schemas.openxmlformats.org/officeDocument/2006/customXml" ds:itemID="{2796CC52-A69B-4F5A-96C9-E3E570675FC9}">
  <ds:schemaRefs>
    <ds:schemaRef ds:uri="http://schemas.microsoft.com/office/2006/metadata/properties"/>
    <ds:schemaRef ds:uri="http://schemas.microsoft.com/office/infopath/2007/PartnerControls"/>
    <ds:schemaRef ds:uri="d218dcd1-4bb2-43e0-bed0-390067e6b480"/>
    <ds:schemaRef ds:uri="c7480430-9920-4919-8529-f12356b00037"/>
  </ds:schemaRefs>
</ds:datastoreItem>
</file>

<file path=customXml/itemProps3.xml><?xml version="1.0" encoding="utf-8"?>
<ds:datastoreItem xmlns:ds="http://schemas.openxmlformats.org/officeDocument/2006/customXml" ds:itemID="{319D96D5-CB05-4DCE-AA03-4B3E65209EE8}"/>
</file>

<file path=docProps/app.xml><?xml version="1.0" encoding="utf-8"?>
<Properties xmlns="http://schemas.openxmlformats.org/officeDocument/2006/extended-properties" xmlns:vt="http://schemas.openxmlformats.org/officeDocument/2006/docPropsVTypes">
  <Template>Normal.dotm</Template>
  <TotalTime>282</TotalTime>
  <Pages>3</Pages>
  <Words>1245</Words>
  <Characters>7099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Sulkova, Diana</dc:creator>
  <cp:keywords/>
  <dc:description/>
  <cp:lastModifiedBy>Varhanikova, Halka</cp:lastModifiedBy>
  <cp:revision>7</cp:revision>
  <dcterms:created xsi:type="dcterms:W3CDTF">2026-03-15T19:02:00Z</dcterms:created>
  <dcterms:modified xsi:type="dcterms:W3CDTF">2026-03-27T07:15:00Z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0x0101003F6348E33B7A8F4AACB335ADF7066395</vt:lpwstr>
  </property>
</Properties>
</file>